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r>
        <w:rPr>
          <w:sz w:val="50"/>
          <w:lang w:eastAsia="zh-CN"/>
        </w:rPr>
        <w:drawing>
          <wp:anchor distT="0" distB="0" distL="114300" distR="114300" simplePos="0" relativeHeight="251663360"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10"/>
                    <a:stretch>
                      <a:fillRect/>
                    </a:stretch>
                  </pic:blipFill>
                  <pic:spPr>
                    <a:xfrm>
                      <a:off x="0" y="0"/>
                      <a:ext cx="4597400" cy="1104900"/>
                    </a:xfrm>
                    <a:prstGeom prst="rect">
                      <a:avLst/>
                    </a:prstGeom>
                  </pic:spPr>
                </pic:pic>
              </a:graphicData>
            </a:graphic>
          </wp:anchor>
        </w:drawing>
      </w:r>
    </w:p>
    <w:p>
      <w:pPr>
        <w:pStyle w:val="7"/>
        <w:rPr>
          <w:rFonts w:ascii="Times New Roman"/>
          <w:sz w:val="20"/>
        </w:rPr>
      </w:pPr>
    </w:p>
    <w:p>
      <w:pPr>
        <w:pStyle w:val="7"/>
        <w:rPr>
          <w:rFonts w:ascii="Times New Roman"/>
          <w:sz w:val="20"/>
        </w:rPr>
      </w:pPr>
    </w:p>
    <w:p>
      <w:pPr>
        <w:spacing w:before="155"/>
        <w:ind w:right="2"/>
        <w:jc w:val="center"/>
        <w:rPr>
          <w:sz w:val="50"/>
          <w:lang w:eastAsia="zh-CN"/>
        </w:rPr>
      </w:pPr>
    </w:p>
    <w:p>
      <w:pPr>
        <w:pStyle w:val="7"/>
        <w:rPr>
          <w:sz w:val="50"/>
          <w:lang w:eastAsia="zh-CN"/>
        </w:rPr>
      </w:pPr>
      <w:r>
        <w:rPr>
          <w:lang w:eastAsia="zh-CN"/>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val="en-US" w:eastAsia="zh-CN"/>
                                </w:rPr>
                                <w:t>现代物流管理</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4144;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mQcAAGRycy9tZWRpYS9pbWFnZTEucG5nUEsBAhQAFAAAAAgAh07iQCL//ODCAAAA7QUAABQAAAAA&#10;AAAAAQAgAAAAhQg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11"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2"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val="en-US" w:eastAsia="zh-CN"/>
                          </w:rPr>
                          <w:t>现代物流管理</w:t>
                        </w:r>
                        <w:r>
                          <w:rPr>
                            <w:color w:val="FFFFFF"/>
                            <w:sz w:val="60"/>
                            <w:lang w:eastAsia="zh-CN"/>
                          </w:rPr>
                          <w:t>专业人才培养方案</w:t>
                        </w:r>
                      </w:p>
                    </w:txbxContent>
                  </v:textbox>
                </v:shape>
              </v:group>
            </w:pict>
          </mc:Fallback>
        </mc:AlternateContent>
      </w:r>
    </w:p>
    <w:p>
      <w:pPr>
        <w:pStyle w:val="7"/>
        <w:rPr>
          <w:sz w:val="50"/>
          <w:lang w:eastAsia="zh-CN"/>
        </w:rPr>
      </w:pPr>
    </w:p>
    <w:p>
      <w:pPr>
        <w:pStyle w:val="7"/>
        <w:rPr>
          <w:sz w:val="50"/>
          <w:lang w:eastAsia="zh-CN"/>
        </w:rPr>
      </w:pPr>
    </w:p>
    <w:p>
      <w:pPr>
        <w:spacing w:before="421"/>
        <w:ind w:right="2"/>
        <w:jc w:val="center"/>
        <w:rPr>
          <w:sz w:val="50"/>
          <w:lang w:eastAsia="zh-CN"/>
        </w:rPr>
      </w:pPr>
    </w:p>
    <w:p>
      <w:pPr>
        <w:spacing w:before="421"/>
        <w:ind w:right="2"/>
        <w:jc w:val="center"/>
        <w:rPr>
          <w:sz w:val="50"/>
          <w:lang w:eastAsia="zh-CN"/>
        </w:rPr>
      </w:pPr>
      <w:r>
        <w:rPr>
          <w:sz w:val="50"/>
          <w:lang w:eastAsia="zh-CN"/>
        </w:rPr>
        <w:t>（2021级适用）</w:t>
      </w: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spacing w:before="370"/>
        <w:jc w:val="center"/>
        <w:rPr>
          <w:rFonts w:ascii="黑体" w:eastAsia="黑体"/>
          <w:sz w:val="36"/>
          <w:lang w:eastAsia="zh-CN"/>
        </w:rPr>
      </w:pPr>
      <w:r>
        <w:rPr>
          <w:rFonts w:hint="eastAsia" w:ascii="黑体" w:eastAsia="黑体"/>
          <w:spacing w:val="65"/>
          <w:sz w:val="36"/>
          <w:lang w:eastAsia="zh-CN"/>
        </w:rPr>
        <w:t>菏泽职业学院</w:t>
      </w:r>
      <w:r>
        <w:rPr>
          <w:rFonts w:hint="eastAsia" w:ascii="黑体" w:eastAsia="黑体"/>
          <w:spacing w:val="-101"/>
          <w:sz w:val="36"/>
          <w:lang w:eastAsia="zh-CN"/>
        </w:rPr>
        <w:t xml:space="preserve"> </w:t>
      </w:r>
    </w:p>
    <w:p>
      <w:pPr>
        <w:jc w:val="center"/>
        <w:rPr>
          <w:lang w:eastAsia="zh-CN"/>
        </w:rPr>
      </w:pPr>
    </w:p>
    <w:p>
      <w:pPr>
        <w:jc w:val="center"/>
        <w:rPr>
          <w:lang w:eastAsia="zh-CN"/>
        </w:rPr>
      </w:pPr>
      <w:r>
        <w:rPr>
          <w:rFonts w:hint="eastAsia" w:ascii="黑体" w:eastAsia="黑体"/>
          <w:spacing w:val="65"/>
          <w:sz w:val="32"/>
          <w:szCs w:val="21"/>
          <w:lang w:eastAsia="zh-CN"/>
        </w:rPr>
        <w:t>二〇二一年六月</w:t>
      </w:r>
    </w:p>
    <w:p>
      <w:pPr>
        <w:jc w:val="center"/>
        <w:rPr>
          <w:lang w:eastAsia="zh-CN"/>
        </w:rPr>
        <w:sectPr>
          <w:pgSz w:w="11910" w:h="16840"/>
          <w:pgMar w:top="1580" w:right="0" w:bottom="280" w:left="0" w:header="720" w:footer="720" w:gutter="0"/>
          <w:pgBorders>
            <w:top w:val="none" w:sz="0" w:space="0"/>
            <w:left w:val="none" w:sz="0" w:space="0"/>
            <w:bottom w:val="none" w:sz="0" w:space="0"/>
            <w:right w:val="none" w:sz="0" w:space="0"/>
          </w:pgBorders>
          <w:cols w:space="720" w:num="1"/>
        </w:sectPr>
      </w:pPr>
    </w:p>
    <w:p>
      <w:pPr>
        <w:pStyle w:val="7"/>
        <w:spacing w:before="8"/>
        <w:jc w:val="center"/>
        <w:rPr>
          <w:rFonts w:ascii="黑体"/>
          <w:b/>
          <w:bCs/>
          <w:sz w:val="28"/>
          <w:szCs w:val="96"/>
          <w:lang w:eastAsia="zh-CN"/>
        </w:rPr>
      </w:pPr>
      <w:r>
        <w:rPr>
          <w:rFonts w:hint="eastAsia" w:ascii="黑体"/>
          <w:b/>
          <w:bCs/>
          <w:sz w:val="28"/>
          <w:szCs w:val="96"/>
          <w:lang w:eastAsia="zh-CN"/>
        </w:rPr>
        <w:t>编制说明</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2021 级</w:t>
      </w:r>
      <w:r>
        <w:rPr>
          <w:rFonts w:hint="eastAsia" w:ascii="仿宋" w:hAnsi="仿宋" w:eastAsia="仿宋" w:cs="仿宋"/>
          <w:sz w:val="28"/>
          <w:szCs w:val="96"/>
          <w:lang w:val="en-US" w:eastAsia="zh-CN"/>
        </w:rPr>
        <w:t>现代物流管理</w:t>
      </w:r>
      <w:r>
        <w:rPr>
          <w:rFonts w:hint="eastAsia" w:ascii="仿宋" w:hAnsi="仿宋" w:eastAsia="仿宋" w:cs="仿宋"/>
          <w:sz w:val="28"/>
          <w:szCs w:val="96"/>
          <w:lang w:eastAsia="zh-CN"/>
        </w:rPr>
        <w:t>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7"/>
        <w:spacing w:before="8"/>
        <w:rPr>
          <w:rFonts w:ascii="黑体"/>
          <w:b/>
          <w:bCs/>
          <w:sz w:val="24"/>
          <w:szCs w:val="24"/>
          <w:lang w:eastAsia="zh-CN"/>
        </w:rPr>
      </w:pPr>
      <w:r>
        <w:rPr>
          <w:rFonts w:hint="eastAsia" w:ascii="黑体"/>
          <w:b/>
          <w:bCs/>
          <w:sz w:val="24"/>
          <w:szCs w:val="24"/>
          <w:lang w:eastAsia="zh-CN"/>
        </w:rPr>
        <w:t>一、人才培养方案组成</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w:t>
      </w:r>
      <w:r>
        <w:rPr>
          <w:rFonts w:hint="eastAsia" w:ascii="仿宋" w:hAnsi="仿宋" w:eastAsia="仿宋" w:cs="仿宋"/>
          <w:sz w:val="28"/>
          <w:szCs w:val="96"/>
          <w:lang w:val="en-US" w:eastAsia="zh-CN"/>
        </w:rPr>
        <w:t>商贸物流</w:t>
      </w:r>
      <w:r>
        <w:rPr>
          <w:rFonts w:hint="eastAsia" w:ascii="仿宋" w:hAnsi="仿宋" w:eastAsia="仿宋" w:cs="仿宋"/>
          <w:sz w:val="28"/>
          <w:szCs w:val="96"/>
          <w:lang w:eastAsia="zh-CN"/>
        </w:rPr>
        <w:t>系学分制评价标准和菏泽职业学院人才培养方案审核意见表。</w:t>
      </w:r>
    </w:p>
    <w:p>
      <w:pPr>
        <w:pStyle w:val="7"/>
        <w:spacing w:before="8"/>
        <w:rPr>
          <w:rFonts w:ascii="黑体"/>
          <w:b/>
          <w:bCs/>
          <w:sz w:val="24"/>
          <w:szCs w:val="24"/>
          <w:lang w:eastAsia="zh-CN"/>
        </w:rPr>
      </w:pPr>
      <w:r>
        <w:rPr>
          <w:rFonts w:hint="eastAsia" w:ascii="黑体"/>
          <w:b/>
          <w:bCs/>
          <w:sz w:val="24"/>
          <w:szCs w:val="24"/>
          <w:lang w:eastAsia="zh-CN"/>
        </w:rPr>
        <w:t>二、人才培养方案主要编制人员（姓名、单位、职务/职称）</w:t>
      </w:r>
    </w:p>
    <w:p>
      <w:pPr>
        <w:pStyle w:val="7"/>
        <w:spacing w:before="8"/>
        <w:ind w:firstLine="562" w:firstLineChars="200"/>
        <w:rPr>
          <w:rFonts w:ascii="仿宋" w:hAnsi="仿宋" w:eastAsia="仿宋" w:cs="仿宋"/>
          <w:sz w:val="28"/>
          <w:szCs w:val="96"/>
          <w:lang w:eastAsia="zh-CN"/>
        </w:rPr>
      </w:pPr>
      <w:r>
        <w:rPr>
          <w:rFonts w:hint="eastAsia" w:ascii="仿宋" w:hAnsi="仿宋" w:eastAsia="仿宋" w:cs="仿宋"/>
          <w:b/>
          <w:bCs/>
          <w:sz w:val="28"/>
          <w:szCs w:val="96"/>
          <w:lang w:eastAsia="zh-CN"/>
        </w:rPr>
        <w:t>专业负责人：</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val="en-US" w:eastAsia="zh-CN"/>
        </w:rPr>
        <w:t>邵伟</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商贸物流</w:t>
      </w:r>
      <w:r>
        <w:rPr>
          <w:rFonts w:hint="eastAsia" w:ascii="仿宋" w:hAnsi="仿宋" w:eastAsia="仿宋" w:cs="仿宋"/>
          <w:sz w:val="28"/>
          <w:szCs w:val="96"/>
          <w:lang w:eastAsia="zh-CN"/>
        </w:rPr>
        <w:t>系教研室主任/讲师</w:t>
      </w:r>
    </w:p>
    <w:p>
      <w:pPr>
        <w:pStyle w:val="7"/>
        <w:spacing w:before="8"/>
        <w:ind w:firstLine="562" w:firstLineChars="200"/>
        <w:rPr>
          <w:rFonts w:ascii="仿宋" w:hAnsi="仿宋" w:eastAsia="仿宋" w:cs="仿宋"/>
          <w:b/>
          <w:bCs/>
          <w:sz w:val="28"/>
          <w:szCs w:val="96"/>
          <w:lang w:eastAsia="zh-CN"/>
        </w:rPr>
      </w:pPr>
      <w:r>
        <w:rPr>
          <w:rFonts w:hint="eastAsia" w:ascii="仿宋" w:hAnsi="仿宋" w:eastAsia="仿宋" w:cs="仿宋"/>
          <w:b/>
          <w:bCs/>
          <w:sz w:val="28"/>
          <w:szCs w:val="96"/>
          <w:lang w:eastAsia="zh-CN"/>
        </w:rPr>
        <w:t>参编人员：</w:t>
      </w:r>
    </w:p>
    <w:p>
      <w:pPr>
        <w:pStyle w:val="7"/>
        <w:spacing w:before="8"/>
        <w:ind w:firstLine="560" w:firstLineChars="200"/>
        <w:rPr>
          <w:rFonts w:hint="default" w:ascii="仿宋" w:hAnsi="仿宋" w:eastAsia="仿宋" w:cs="仿宋"/>
          <w:sz w:val="28"/>
          <w:szCs w:val="96"/>
          <w:lang w:val="en-US" w:eastAsia="zh-CN"/>
        </w:rPr>
      </w:pPr>
      <w:r>
        <w:rPr>
          <w:rFonts w:hint="eastAsia" w:ascii="仿宋" w:hAnsi="仿宋" w:eastAsia="仿宋" w:cs="仿宋"/>
          <w:sz w:val="28"/>
          <w:szCs w:val="96"/>
          <w:lang w:val="en-US" w:eastAsia="zh-CN"/>
        </w:rPr>
        <w:t>董茂常   菏泽职业学院商贸物流系 主任/教授</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val="en-US" w:eastAsia="zh-CN"/>
        </w:rPr>
        <w:t>楚晓娟</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商贸物流</w:t>
      </w:r>
      <w:r>
        <w:rPr>
          <w:rFonts w:hint="eastAsia" w:ascii="仿宋" w:hAnsi="仿宋" w:eastAsia="仿宋" w:cs="仿宋"/>
          <w:sz w:val="28"/>
          <w:szCs w:val="96"/>
          <w:lang w:eastAsia="zh-CN"/>
        </w:rPr>
        <w:t xml:space="preserve">系 </w:t>
      </w:r>
      <w:r>
        <w:rPr>
          <w:rFonts w:hint="eastAsia" w:ascii="仿宋" w:hAnsi="仿宋" w:eastAsia="仿宋" w:cs="仿宋"/>
          <w:sz w:val="28"/>
          <w:szCs w:val="96"/>
          <w:lang w:val="en-US" w:eastAsia="zh-CN"/>
        </w:rPr>
        <w:t>副</w:t>
      </w:r>
      <w:r>
        <w:rPr>
          <w:rFonts w:hint="eastAsia" w:ascii="仿宋" w:hAnsi="仿宋" w:eastAsia="仿宋" w:cs="仿宋"/>
          <w:sz w:val="28"/>
          <w:szCs w:val="96"/>
          <w:lang w:eastAsia="zh-CN"/>
        </w:rPr>
        <w:t>主任/副教授</w:t>
      </w:r>
    </w:p>
    <w:p>
      <w:pPr>
        <w:pStyle w:val="7"/>
        <w:spacing w:before="8"/>
        <w:ind w:firstLine="560" w:firstLineChars="200"/>
        <w:rPr>
          <w:rFonts w:hint="eastAsia" w:ascii="仿宋" w:hAnsi="仿宋" w:eastAsia="仿宋" w:cs="仿宋"/>
          <w:sz w:val="28"/>
          <w:szCs w:val="96"/>
          <w:lang w:val="en-US" w:eastAsia="zh-CN"/>
        </w:rPr>
      </w:pPr>
      <w:r>
        <w:rPr>
          <w:rFonts w:hint="eastAsia" w:ascii="仿宋" w:hAnsi="仿宋" w:eastAsia="仿宋" w:cs="仿宋"/>
          <w:sz w:val="28"/>
          <w:szCs w:val="96"/>
          <w:lang w:val="en-US" w:eastAsia="zh-CN"/>
        </w:rPr>
        <w:t>马小波</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商贸物流</w:t>
      </w:r>
      <w:r>
        <w:rPr>
          <w:rFonts w:hint="eastAsia" w:ascii="仿宋" w:hAnsi="仿宋" w:eastAsia="仿宋" w:cs="仿宋"/>
          <w:sz w:val="28"/>
          <w:szCs w:val="96"/>
          <w:lang w:eastAsia="zh-CN"/>
        </w:rPr>
        <w:t>系 教师/</w:t>
      </w:r>
      <w:r>
        <w:rPr>
          <w:rFonts w:hint="eastAsia" w:ascii="仿宋" w:hAnsi="仿宋" w:eastAsia="仿宋" w:cs="仿宋"/>
          <w:sz w:val="28"/>
          <w:szCs w:val="96"/>
          <w:lang w:val="en-US" w:eastAsia="zh-CN"/>
        </w:rPr>
        <w:t>助教</w:t>
      </w:r>
    </w:p>
    <w:p>
      <w:pPr>
        <w:pStyle w:val="7"/>
        <w:spacing w:before="8"/>
        <w:ind w:firstLine="560" w:firstLineChars="200"/>
        <w:rPr>
          <w:rFonts w:hint="default" w:ascii="仿宋" w:hAnsi="仿宋" w:eastAsia="仿宋" w:cs="仿宋"/>
          <w:sz w:val="28"/>
          <w:szCs w:val="96"/>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96"/>
          <w:lang w:val="en-US" w:eastAsia="zh-CN"/>
        </w:rPr>
        <w:t>邱坚强   森马（嘉兴）物流投资有限公司/讲师</w:t>
      </w:r>
    </w:p>
    <w:p>
      <w:pPr>
        <w:pStyle w:val="7"/>
        <w:spacing w:before="8"/>
        <w:rPr>
          <w:rFonts w:ascii="黑体"/>
          <w:sz w:val="15"/>
          <w:szCs w:val="36"/>
          <w:lang w:eastAsia="zh-CN"/>
        </w:rPr>
      </w:pPr>
    </w:p>
    <w:sdt>
      <w:sdtPr>
        <w:rPr>
          <w:sz w:val="32"/>
          <w:szCs w:val="36"/>
        </w:rPr>
        <w:id w:val="147456167"/>
        <w:docPartObj>
          <w:docPartGallery w:val="Table of Contents"/>
          <w:docPartUnique/>
        </w:docPartObj>
      </w:sdtPr>
      <w:sdtEndPr>
        <w:rPr>
          <w:b/>
          <w:sz w:val="22"/>
          <w:szCs w:val="22"/>
        </w:rPr>
      </w:sdtEndPr>
      <w:sdtContent>
        <w:p>
          <w:pPr>
            <w:jc w:val="center"/>
            <w:rPr>
              <w:b/>
              <w:bCs/>
            </w:rPr>
          </w:pPr>
          <w:r>
            <w:rPr>
              <w:b/>
              <w:bCs/>
              <w:sz w:val="32"/>
              <w:szCs w:val="36"/>
            </w:rPr>
            <w:t>目</w:t>
          </w:r>
          <w:r>
            <w:rPr>
              <w:rFonts w:hint="eastAsia"/>
              <w:b/>
              <w:bCs/>
              <w:sz w:val="32"/>
              <w:szCs w:val="36"/>
              <w:lang w:eastAsia="zh-CN"/>
            </w:rPr>
            <w:t xml:space="preserve">   </w:t>
          </w:r>
          <w:r>
            <w:rPr>
              <w:b/>
              <w:bCs/>
              <w:sz w:val="32"/>
              <w:szCs w:val="36"/>
            </w:rPr>
            <w:t>录</w:t>
          </w:r>
        </w:p>
        <w:p>
          <w:pPr>
            <w:pStyle w:val="11"/>
            <w:tabs>
              <w:tab w:val="right" w:leader="dot" w:pos="8504"/>
            </w:tabs>
          </w:pPr>
          <w:r>
            <w:fldChar w:fldCharType="begin"/>
          </w:r>
          <w:r>
            <w:instrText xml:space="preserve">TOC \o "1-2" \h \u </w:instrText>
          </w:r>
          <w:r>
            <w:fldChar w:fldCharType="separate"/>
          </w:r>
          <w:r>
            <w:fldChar w:fldCharType="begin"/>
          </w:r>
          <w:r>
            <w:instrText xml:space="preserve"> HYPERLINK \l "_Toc31941" </w:instrText>
          </w:r>
          <w:r>
            <w:fldChar w:fldCharType="separate"/>
          </w:r>
          <w:r>
            <w:rPr>
              <w:rFonts w:hint="eastAsia" w:ascii="黑体" w:hAnsi="黑体" w:eastAsia="黑体" w:cs="黑体"/>
            </w:rPr>
            <w:t>一、专业名称及代码</w:t>
          </w:r>
          <w:r>
            <w:tab/>
          </w:r>
          <w:r>
            <w:fldChar w:fldCharType="begin"/>
          </w:r>
          <w:r>
            <w:instrText xml:space="preserve"> PAGEREF _Toc31941 \h </w:instrText>
          </w:r>
          <w:r>
            <w:fldChar w:fldCharType="separate"/>
          </w:r>
          <w:r>
            <w:t>2</w:t>
          </w:r>
          <w:r>
            <w:fldChar w:fldCharType="end"/>
          </w:r>
          <w:r>
            <w:fldChar w:fldCharType="end"/>
          </w:r>
        </w:p>
        <w:p>
          <w:pPr>
            <w:pStyle w:val="12"/>
            <w:tabs>
              <w:tab w:val="right" w:leader="dot" w:pos="8504"/>
            </w:tabs>
            <w:ind w:left="440"/>
          </w:pPr>
          <w:r>
            <w:fldChar w:fldCharType="begin"/>
          </w:r>
          <w:r>
            <w:instrText xml:space="preserve"> HYPERLINK \l "_Toc11555" </w:instrText>
          </w:r>
          <w:r>
            <w:fldChar w:fldCharType="separate"/>
          </w:r>
          <w:r>
            <w:rPr>
              <w:rFonts w:hint="eastAsia"/>
              <w:bCs/>
              <w:szCs w:val="24"/>
              <w:lang w:eastAsia="zh-CN"/>
            </w:rPr>
            <w:t>（一）</w:t>
          </w:r>
          <w:r>
            <w:rPr>
              <w:rFonts w:hint="eastAsia"/>
              <w:bCs/>
              <w:szCs w:val="24"/>
            </w:rPr>
            <w:t>专业名称</w:t>
          </w:r>
          <w:r>
            <w:tab/>
          </w:r>
          <w:r>
            <w:fldChar w:fldCharType="begin"/>
          </w:r>
          <w:r>
            <w:instrText xml:space="preserve"> PAGEREF _Toc11555 \h </w:instrText>
          </w:r>
          <w:r>
            <w:fldChar w:fldCharType="separate"/>
          </w:r>
          <w:r>
            <w:t>2</w:t>
          </w:r>
          <w:r>
            <w:fldChar w:fldCharType="end"/>
          </w:r>
          <w:r>
            <w:fldChar w:fldCharType="end"/>
          </w:r>
        </w:p>
        <w:p>
          <w:pPr>
            <w:pStyle w:val="12"/>
            <w:tabs>
              <w:tab w:val="right" w:leader="dot" w:pos="8504"/>
            </w:tabs>
            <w:ind w:left="440"/>
          </w:pPr>
          <w:r>
            <w:fldChar w:fldCharType="begin"/>
          </w:r>
          <w:r>
            <w:instrText xml:space="preserve"> HYPERLINK \l "_Toc6535" </w:instrText>
          </w:r>
          <w:r>
            <w:fldChar w:fldCharType="separate"/>
          </w:r>
          <w:r>
            <w:rPr>
              <w:rFonts w:hint="eastAsia"/>
              <w:bCs/>
              <w:szCs w:val="24"/>
              <w:lang w:eastAsia="zh-CN"/>
            </w:rPr>
            <w:t>（二）</w:t>
          </w:r>
          <w:r>
            <w:rPr>
              <w:rFonts w:hint="eastAsia"/>
              <w:bCs/>
              <w:szCs w:val="24"/>
            </w:rPr>
            <w:t>专业代码</w:t>
          </w:r>
          <w:r>
            <w:tab/>
          </w:r>
          <w:r>
            <w:fldChar w:fldCharType="begin"/>
          </w:r>
          <w:r>
            <w:instrText xml:space="preserve"> PAGEREF _Toc6535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"_Toc5395" </w:instrText>
          </w:r>
          <w:r>
            <w:fldChar w:fldCharType="separate"/>
          </w:r>
          <w:r>
            <w:rPr>
              <w:rFonts w:hint="eastAsia" w:ascii="黑体" w:hAnsi="黑体" w:eastAsia="黑体" w:cs="黑体"/>
            </w:rPr>
            <w:t>二、入学要求</w:t>
          </w:r>
          <w:r>
            <w:tab/>
          </w:r>
          <w:r>
            <w:fldChar w:fldCharType="begin"/>
          </w:r>
          <w:r>
            <w:instrText xml:space="preserve"> PAGEREF _Toc5395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"_Toc29873" </w:instrText>
          </w:r>
          <w:r>
            <w:fldChar w:fldCharType="separate"/>
          </w:r>
          <w:r>
            <w:rPr>
              <w:rFonts w:hint="eastAsia" w:ascii="黑体" w:hAnsi="黑体" w:eastAsia="黑体" w:cs="黑体"/>
            </w:rPr>
            <w:t>三、修学年限</w:t>
          </w:r>
          <w:r>
            <w:tab/>
          </w:r>
          <w:r>
            <w:fldChar w:fldCharType="begin"/>
          </w:r>
          <w:r>
            <w:instrText xml:space="preserve"> PAGEREF _Toc29873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"_Toc25030" </w:instrText>
          </w:r>
          <w:r>
            <w:fldChar w:fldCharType="separate"/>
          </w:r>
          <w:r>
            <w:rPr>
              <w:rFonts w:hint="eastAsia" w:ascii="黑体" w:hAnsi="黑体" w:eastAsia="黑体" w:cs="黑体"/>
            </w:rPr>
            <w:t>四、职业面向</w:t>
          </w:r>
          <w:r>
            <w:tab/>
          </w:r>
          <w:r>
            <w:fldChar w:fldCharType="begin"/>
          </w:r>
          <w:r>
            <w:instrText xml:space="preserve"> PAGEREF _Toc25030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"_Toc11950" </w:instrText>
          </w:r>
          <w:r>
            <w:fldChar w:fldCharType="separate"/>
          </w:r>
          <w:r>
            <w:rPr>
              <w:rFonts w:hint="eastAsia" w:ascii="黑体" w:hAnsi="黑体" w:eastAsia="黑体" w:cs="黑体"/>
            </w:rPr>
            <w:t>五、培养目标与培养规格</w:t>
          </w:r>
          <w:r>
            <w:tab/>
          </w:r>
          <w:r>
            <w:fldChar w:fldCharType="begin"/>
          </w:r>
          <w:r>
            <w:instrText xml:space="preserve"> PAGEREF _Toc11950 \h </w:instrText>
          </w:r>
          <w:r>
            <w:fldChar w:fldCharType="separate"/>
          </w:r>
          <w:r>
            <w:t>2</w:t>
          </w:r>
          <w:r>
            <w:fldChar w:fldCharType="end"/>
          </w:r>
          <w:r>
            <w:fldChar w:fldCharType="end"/>
          </w:r>
        </w:p>
        <w:p>
          <w:pPr>
            <w:pStyle w:val="12"/>
            <w:tabs>
              <w:tab w:val="right" w:leader="dot" w:pos="8504"/>
            </w:tabs>
            <w:ind w:left="440"/>
          </w:pPr>
          <w:r>
            <w:fldChar w:fldCharType="begin"/>
          </w:r>
          <w:r>
            <w:instrText xml:space="preserve"> HYPERLINK \l "_Toc9133" </w:instrText>
          </w:r>
          <w:r>
            <w:fldChar w:fldCharType="separate"/>
          </w:r>
          <w:r>
            <w:rPr>
              <w:rFonts w:hint="eastAsia"/>
              <w:bCs/>
              <w:szCs w:val="24"/>
              <w:lang w:eastAsia="zh-CN"/>
            </w:rPr>
            <w:t>（一）</w:t>
          </w:r>
          <w:r>
            <w:rPr>
              <w:rFonts w:hint="eastAsia"/>
              <w:bCs/>
              <w:szCs w:val="24"/>
            </w:rPr>
            <w:t>培养目标</w:t>
          </w:r>
          <w:r>
            <w:tab/>
          </w:r>
          <w:r>
            <w:fldChar w:fldCharType="begin"/>
          </w:r>
          <w:r>
            <w:instrText xml:space="preserve"> PAGEREF _Toc9133 \h </w:instrText>
          </w:r>
          <w:r>
            <w:fldChar w:fldCharType="separate"/>
          </w:r>
          <w:r>
            <w:t>2</w:t>
          </w:r>
          <w:r>
            <w:fldChar w:fldCharType="end"/>
          </w:r>
          <w:r>
            <w:fldChar w:fldCharType="end"/>
          </w:r>
        </w:p>
        <w:p>
          <w:pPr>
            <w:pStyle w:val="12"/>
            <w:tabs>
              <w:tab w:val="right" w:leader="dot" w:pos="8504"/>
            </w:tabs>
            <w:ind w:left="440"/>
          </w:pPr>
          <w:r>
            <w:fldChar w:fldCharType="begin"/>
          </w:r>
          <w:r>
            <w:instrText xml:space="preserve"> HYPERLINK \l "_Toc10490" </w:instrText>
          </w:r>
          <w:r>
            <w:fldChar w:fldCharType="separate"/>
          </w:r>
          <w:r>
            <w:rPr>
              <w:rFonts w:hint="eastAsia"/>
              <w:szCs w:val="24"/>
              <w:lang w:eastAsia="zh-CN"/>
            </w:rPr>
            <w:t>（二）</w:t>
          </w:r>
          <w:r>
            <w:rPr>
              <w:rFonts w:hint="eastAsia"/>
              <w:szCs w:val="24"/>
            </w:rPr>
            <w:t>培养规格</w:t>
          </w:r>
          <w:r>
            <w:tab/>
          </w:r>
          <w:r>
            <w:fldChar w:fldCharType="begin"/>
          </w:r>
          <w:r>
            <w:instrText xml:space="preserve"> PAGEREF _Toc10490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"_Toc17892" </w:instrText>
          </w:r>
          <w:r>
            <w:fldChar w:fldCharType="separate"/>
          </w:r>
          <w:r>
            <w:rPr>
              <w:rFonts w:hint="eastAsia" w:ascii="黑体" w:hAnsi="黑体" w:eastAsia="黑体" w:cs="黑体"/>
            </w:rPr>
            <w:t>六、课程设置</w:t>
          </w:r>
          <w:r>
            <w:tab/>
          </w:r>
          <w:r>
            <w:fldChar w:fldCharType="begin"/>
          </w:r>
          <w:r>
            <w:instrText xml:space="preserve"> PAGEREF _Toc17892 \h </w:instrText>
          </w:r>
          <w:r>
            <w:fldChar w:fldCharType="separate"/>
          </w:r>
          <w:r>
            <w:t>3</w:t>
          </w:r>
          <w:r>
            <w:fldChar w:fldCharType="end"/>
          </w:r>
          <w:r>
            <w:fldChar w:fldCharType="end"/>
          </w:r>
        </w:p>
        <w:p>
          <w:pPr>
            <w:pStyle w:val="12"/>
            <w:tabs>
              <w:tab w:val="right" w:leader="dot" w:pos="8504"/>
            </w:tabs>
            <w:ind w:left="440"/>
          </w:pPr>
          <w:r>
            <w:fldChar w:fldCharType="begin"/>
          </w:r>
          <w:r>
            <w:instrText xml:space="preserve"> HYPERLINK \l "_Toc7078" </w:instrText>
          </w:r>
          <w:r>
            <w:fldChar w:fldCharType="separate"/>
          </w:r>
          <w:r>
            <w:rPr>
              <w:rFonts w:hint="eastAsia"/>
              <w:szCs w:val="24"/>
              <w:lang w:eastAsia="zh-CN"/>
            </w:rPr>
            <w:t>（一）</w:t>
          </w:r>
          <w:r>
            <w:rPr>
              <w:rFonts w:hint="eastAsia"/>
              <w:szCs w:val="24"/>
            </w:rPr>
            <w:t>公共基础课程</w:t>
          </w:r>
          <w:r>
            <w:tab/>
          </w:r>
          <w:r>
            <w:fldChar w:fldCharType="begin"/>
          </w:r>
          <w:r>
            <w:instrText xml:space="preserve"> PAGEREF _Toc7078 \h </w:instrText>
          </w:r>
          <w:r>
            <w:fldChar w:fldCharType="separate"/>
          </w:r>
          <w:r>
            <w:t>4</w:t>
          </w:r>
          <w:r>
            <w:fldChar w:fldCharType="end"/>
          </w:r>
          <w:r>
            <w:fldChar w:fldCharType="end"/>
          </w:r>
        </w:p>
        <w:p>
          <w:pPr>
            <w:pStyle w:val="12"/>
            <w:tabs>
              <w:tab w:val="right" w:leader="dot" w:pos="8504"/>
            </w:tabs>
            <w:ind w:left="440"/>
          </w:pPr>
          <w:r>
            <w:fldChar w:fldCharType="begin"/>
          </w:r>
          <w:r>
            <w:instrText xml:space="preserve"> HYPERLINK \l "_Toc15377" </w:instrText>
          </w:r>
          <w:r>
            <w:fldChar w:fldCharType="separate"/>
          </w:r>
          <w:r>
            <w:rPr>
              <w:rFonts w:hint="eastAsia"/>
              <w:szCs w:val="24"/>
              <w:lang w:eastAsia="zh-CN"/>
            </w:rPr>
            <w:t>（二）专业基础课程</w:t>
          </w:r>
          <w:r>
            <w:tab/>
          </w:r>
          <w:r>
            <w:fldChar w:fldCharType="begin"/>
          </w:r>
          <w:r>
            <w:instrText xml:space="preserve"> PAGEREF _Toc15377 \h </w:instrText>
          </w:r>
          <w:r>
            <w:fldChar w:fldCharType="separate"/>
          </w:r>
          <w:r>
            <w:t>5</w:t>
          </w:r>
          <w:r>
            <w:fldChar w:fldCharType="end"/>
          </w:r>
          <w:r>
            <w:fldChar w:fldCharType="end"/>
          </w:r>
        </w:p>
        <w:p>
          <w:pPr>
            <w:pStyle w:val="12"/>
            <w:tabs>
              <w:tab w:val="right" w:leader="dot" w:pos="8504"/>
            </w:tabs>
            <w:ind w:left="440"/>
          </w:pPr>
          <w:r>
            <w:fldChar w:fldCharType="begin"/>
          </w:r>
          <w:r>
            <w:instrText xml:space="preserve"> HYPERLINK \l "_Toc16432" </w:instrText>
          </w:r>
          <w:r>
            <w:fldChar w:fldCharType="separate"/>
          </w:r>
          <w:r>
            <w:rPr>
              <w:rFonts w:hint="eastAsia"/>
              <w:szCs w:val="24"/>
              <w:lang w:eastAsia="zh-CN"/>
            </w:rPr>
            <w:t>（三）</w:t>
          </w:r>
          <w:r>
            <w:rPr>
              <w:szCs w:val="24"/>
              <w:lang w:eastAsia="zh-CN"/>
            </w:rPr>
            <w:t>专业核心课程</w:t>
          </w:r>
          <w:r>
            <w:tab/>
          </w:r>
          <w:r>
            <w:fldChar w:fldCharType="begin"/>
          </w:r>
          <w:r>
            <w:instrText xml:space="preserve"> PAGEREF _Toc16432 \h </w:instrText>
          </w:r>
          <w:r>
            <w:fldChar w:fldCharType="separate"/>
          </w:r>
          <w:r>
            <w:t>5</w:t>
          </w:r>
          <w:r>
            <w:fldChar w:fldCharType="end"/>
          </w:r>
          <w:r>
            <w:fldChar w:fldCharType="end"/>
          </w:r>
        </w:p>
        <w:p>
          <w:pPr>
            <w:pStyle w:val="12"/>
            <w:tabs>
              <w:tab w:val="right" w:leader="dot" w:pos="8504"/>
            </w:tabs>
            <w:ind w:left="440"/>
          </w:pPr>
          <w:r>
            <w:fldChar w:fldCharType="begin"/>
          </w:r>
          <w:r>
            <w:instrText xml:space="preserve"> HYPERLINK \l "_Toc25698" </w:instrText>
          </w:r>
          <w:r>
            <w:fldChar w:fldCharType="separate"/>
          </w:r>
          <w:r>
            <w:rPr>
              <w:rFonts w:hint="eastAsia"/>
              <w:szCs w:val="24"/>
              <w:lang w:eastAsia="zh-CN"/>
            </w:rPr>
            <w:t>（四）实践性教学环节</w:t>
          </w:r>
          <w:r>
            <w:tab/>
          </w:r>
          <w:r>
            <w:fldChar w:fldCharType="begin"/>
          </w:r>
          <w:r>
            <w:instrText xml:space="preserve"> PAGEREF _Toc25698 \h </w:instrText>
          </w:r>
          <w:r>
            <w:fldChar w:fldCharType="separate"/>
          </w:r>
          <w:r>
            <w:t>7</w:t>
          </w:r>
          <w:r>
            <w:fldChar w:fldCharType="end"/>
          </w:r>
          <w:r>
            <w:fldChar w:fldCharType="end"/>
          </w:r>
        </w:p>
        <w:p>
          <w:pPr>
            <w:pStyle w:val="12"/>
            <w:tabs>
              <w:tab w:val="right" w:leader="dot" w:pos="8504"/>
            </w:tabs>
            <w:ind w:left="440"/>
          </w:pPr>
          <w:r>
            <w:fldChar w:fldCharType="begin"/>
          </w:r>
          <w:r>
            <w:instrText xml:space="preserve"> HYPERLINK \l "_Toc1040" </w:instrText>
          </w:r>
          <w:r>
            <w:fldChar w:fldCharType="separate"/>
          </w:r>
          <w:r>
            <w:fldChar w:fldCharType="end"/>
          </w:r>
          <w:r>
            <w:fldChar w:fldCharType="begin"/>
          </w:r>
          <w:r>
            <w:instrText xml:space="preserve"> HYPERLINK \l "_Toc26217" </w:instrText>
          </w:r>
          <w:r>
            <w:fldChar w:fldCharType="separate"/>
          </w:r>
          <w:r>
            <w:rPr>
              <w:rFonts w:hint="eastAsia"/>
              <w:szCs w:val="24"/>
              <w:lang w:eastAsia="zh-CN"/>
            </w:rPr>
            <w:t>（</w:t>
          </w:r>
          <w:r>
            <w:rPr>
              <w:rFonts w:hint="eastAsia"/>
              <w:szCs w:val="24"/>
              <w:lang w:val="en-US" w:eastAsia="zh-CN"/>
            </w:rPr>
            <w:t>五</w:t>
          </w:r>
          <w:r>
            <w:rPr>
              <w:rFonts w:hint="eastAsia"/>
              <w:szCs w:val="24"/>
              <w:lang w:eastAsia="zh-CN"/>
            </w:rPr>
            <w:t>）学时安排</w:t>
          </w:r>
          <w:r>
            <w:tab/>
          </w:r>
          <w:r>
            <w:fldChar w:fldCharType="begin"/>
          </w:r>
          <w:r>
            <w:instrText xml:space="preserve"> PAGEREF _Toc26217 \h </w:instrText>
          </w:r>
          <w:r>
            <w:fldChar w:fldCharType="separate"/>
          </w:r>
          <w:r>
            <w:t>7</w:t>
          </w:r>
          <w:r>
            <w:fldChar w:fldCharType="end"/>
          </w:r>
          <w:r>
            <w:fldChar w:fldCharType="end"/>
          </w:r>
        </w:p>
        <w:p>
          <w:pPr>
            <w:pStyle w:val="11"/>
            <w:tabs>
              <w:tab w:val="right" w:leader="dot" w:pos="8504"/>
            </w:tabs>
          </w:pPr>
          <w:r>
            <w:fldChar w:fldCharType="begin"/>
          </w:r>
          <w:r>
            <w:instrText xml:space="preserve"> HYPERLINK \l "_Toc2208" </w:instrText>
          </w:r>
          <w:r>
            <w:fldChar w:fldCharType="separate"/>
          </w:r>
          <w:r>
            <w:rPr>
              <w:rFonts w:hint="eastAsia" w:ascii="黑体" w:hAnsi="黑体" w:eastAsia="黑体" w:cs="黑体"/>
            </w:rPr>
            <w:t>七、教学进程总体安排</w:t>
          </w:r>
          <w:r>
            <w:tab/>
          </w:r>
          <w:r>
            <w:fldChar w:fldCharType="begin"/>
          </w:r>
          <w:r>
            <w:instrText xml:space="preserve"> PAGEREF _Toc2208 \h </w:instrText>
          </w:r>
          <w:r>
            <w:fldChar w:fldCharType="separate"/>
          </w:r>
          <w:r>
            <w:t>7</w:t>
          </w:r>
          <w:r>
            <w:fldChar w:fldCharType="end"/>
          </w:r>
          <w:r>
            <w:fldChar w:fldCharType="end"/>
          </w:r>
        </w:p>
        <w:p>
          <w:pPr>
            <w:pStyle w:val="12"/>
            <w:tabs>
              <w:tab w:val="right" w:leader="dot" w:pos="8504"/>
            </w:tabs>
            <w:ind w:left="440"/>
          </w:pPr>
          <w:r>
            <w:fldChar w:fldCharType="begin"/>
          </w:r>
          <w:r>
            <w:instrText xml:space="preserve"> HYPERLINK \l "_Toc24038" </w:instrText>
          </w:r>
          <w:r>
            <w:fldChar w:fldCharType="separate"/>
          </w:r>
          <w:r>
            <w:rPr>
              <w:rFonts w:hint="eastAsia"/>
              <w:szCs w:val="24"/>
              <w:lang w:eastAsia="zh-CN"/>
            </w:rPr>
            <w:t>（一）教学进程表</w:t>
          </w:r>
          <w:r>
            <w:tab/>
          </w:r>
          <w:r>
            <w:fldChar w:fldCharType="begin"/>
          </w:r>
          <w:r>
            <w:instrText xml:space="preserve"> PAGEREF _Toc24038 \h </w:instrText>
          </w:r>
          <w:r>
            <w:fldChar w:fldCharType="separate"/>
          </w:r>
          <w:r>
            <w:t>7</w:t>
          </w:r>
          <w:r>
            <w:fldChar w:fldCharType="end"/>
          </w:r>
          <w:r>
            <w:fldChar w:fldCharType="end"/>
          </w:r>
        </w:p>
        <w:p>
          <w:pPr>
            <w:pStyle w:val="12"/>
            <w:tabs>
              <w:tab w:val="right" w:leader="dot" w:pos="8504"/>
            </w:tabs>
            <w:ind w:left="440"/>
          </w:pPr>
          <w:r>
            <w:fldChar w:fldCharType="begin"/>
          </w:r>
          <w:r>
            <w:instrText xml:space="preserve"> HYPERLINK \l "_Toc9032" </w:instrText>
          </w:r>
          <w:r>
            <w:fldChar w:fldCharType="separate"/>
          </w:r>
          <w:r>
            <w:rPr>
              <w:rFonts w:hint="eastAsia"/>
              <w:szCs w:val="24"/>
              <w:lang w:eastAsia="zh-CN"/>
            </w:rPr>
            <w:t>（二）课程安排及时间分配</w:t>
          </w:r>
          <w:r>
            <w:tab/>
          </w:r>
          <w:r>
            <w:fldChar w:fldCharType="begin"/>
          </w:r>
          <w:r>
            <w:instrText xml:space="preserve"> PAGEREF _Toc9032 \h </w:instrText>
          </w:r>
          <w:r>
            <w:fldChar w:fldCharType="separate"/>
          </w:r>
          <w:r>
            <w:t>9</w:t>
          </w:r>
          <w:r>
            <w:fldChar w:fldCharType="end"/>
          </w:r>
          <w:r>
            <w:fldChar w:fldCharType="end"/>
          </w:r>
        </w:p>
        <w:p>
          <w:pPr>
            <w:pStyle w:val="12"/>
            <w:tabs>
              <w:tab w:val="right" w:leader="dot" w:pos="8504"/>
            </w:tabs>
            <w:ind w:left="440"/>
          </w:pPr>
          <w:r>
            <w:fldChar w:fldCharType="begin"/>
          </w:r>
          <w:r>
            <w:instrText xml:space="preserve"> HYPERLINK \l "_Toc22710" </w:instrText>
          </w:r>
          <w:r>
            <w:fldChar w:fldCharType="separate"/>
          </w:r>
          <w:r>
            <w:rPr>
              <w:rFonts w:hint="eastAsia"/>
              <w:szCs w:val="24"/>
              <w:lang w:eastAsia="zh-CN"/>
            </w:rPr>
            <w:t>（三）职业技能等级证书考核要求与时间安排</w:t>
          </w:r>
          <w:r>
            <w:tab/>
          </w:r>
          <w:r>
            <w:fldChar w:fldCharType="begin"/>
          </w:r>
          <w:r>
            <w:instrText xml:space="preserve"> PAGEREF _Toc22710 \h </w:instrText>
          </w:r>
          <w:r>
            <w:fldChar w:fldCharType="separate"/>
          </w:r>
          <w:r>
            <w:t>14</w:t>
          </w:r>
          <w:r>
            <w:fldChar w:fldCharType="end"/>
          </w:r>
          <w:r>
            <w:fldChar w:fldCharType="end"/>
          </w:r>
        </w:p>
        <w:p>
          <w:pPr>
            <w:pStyle w:val="12"/>
            <w:tabs>
              <w:tab w:val="right" w:leader="dot" w:pos="8504"/>
            </w:tabs>
            <w:ind w:left="440"/>
          </w:pPr>
          <w:r>
            <w:fldChar w:fldCharType="begin"/>
          </w:r>
          <w:r>
            <w:instrText xml:space="preserve"> HYPERLINK \l "_Toc26651" </w:instrText>
          </w:r>
          <w:r>
            <w:fldChar w:fldCharType="separate"/>
          </w:r>
          <w:r>
            <w:rPr>
              <w:rFonts w:hint="eastAsia"/>
              <w:szCs w:val="24"/>
              <w:lang w:eastAsia="zh-CN"/>
            </w:rPr>
            <w:t>（四）顶岗实习活动安排表</w:t>
          </w:r>
          <w:r>
            <w:tab/>
          </w:r>
          <w:r>
            <w:fldChar w:fldCharType="begin"/>
          </w:r>
          <w:r>
            <w:instrText xml:space="preserve"> PAGEREF _Toc26651 \h </w:instrText>
          </w:r>
          <w:r>
            <w:fldChar w:fldCharType="separate"/>
          </w:r>
          <w:r>
            <w:t>14</w:t>
          </w:r>
          <w:r>
            <w:fldChar w:fldCharType="end"/>
          </w:r>
          <w:r>
            <w:fldChar w:fldCharType="end"/>
          </w:r>
        </w:p>
        <w:p>
          <w:pPr>
            <w:pStyle w:val="11"/>
            <w:tabs>
              <w:tab w:val="right" w:leader="dot" w:pos="8504"/>
            </w:tabs>
          </w:pPr>
          <w:r>
            <w:fldChar w:fldCharType="begin"/>
          </w:r>
          <w:r>
            <w:instrText xml:space="preserve"> HYPERLINK \l "_Toc10637" </w:instrText>
          </w:r>
          <w:r>
            <w:fldChar w:fldCharType="separate"/>
          </w:r>
          <w:r>
            <w:rPr>
              <w:rFonts w:hint="eastAsia" w:ascii="黑体" w:hAnsi="黑体" w:eastAsia="黑体" w:cs="黑体"/>
              <w:lang w:eastAsia="zh-CN"/>
            </w:rPr>
            <w:t>八</w:t>
          </w:r>
          <w:r>
            <w:rPr>
              <w:rFonts w:hint="eastAsia" w:ascii="黑体" w:hAnsi="黑体" w:eastAsia="黑体" w:cs="黑体"/>
            </w:rPr>
            <w:t>、实施保障</w:t>
          </w:r>
          <w:r>
            <w:tab/>
          </w:r>
          <w:r>
            <w:fldChar w:fldCharType="begin"/>
          </w:r>
          <w:r>
            <w:instrText xml:space="preserve"> PAGEREF _Toc10637 \h </w:instrText>
          </w:r>
          <w:r>
            <w:fldChar w:fldCharType="separate"/>
          </w:r>
          <w:r>
            <w:t>15</w:t>
          </w:r>
          <w:r>
            <w:fldChar w:fldCharType="end"/>
          </w:r>
          <w:r>
            <w:fldChar w:fldCharType="end"/>
          </w:r>
        </w:p>
        <w:p>
          <w:pPr>
            <w:pStyle w:val="12"/>
            <w:tabs>
              <w:tab w:val="right" w:leader="dot" w:pos="8504"/>
            </w:tabs>
            <w:ind w:left="440"/>
          </w:pPr>
          <w:r>
            <w:fldChar w:fldCharType="begin"/>
          </w:r>
          <w:r>
            <w:instrText xml:space="preserve"> HYPERLINK \l "_Toc23109" </w:instrText>
          </w:r>
          <w:r>
            <w:fldChar w:fldCharType="separate"/>
          </w:r>
          <w:r>
            <w:rPr>
              <w:rFonts w:hint="eastAsia"/>
              <w:lang w:eastAsia="zh-CN"/>
            </w:rPr>
            <w:t>（一）</w:t>
          </w:r>
          <w:r>
            <w:t>师资队伍</w:t>
          </w:r>
          <w:r>
            <w:tab/>
          </w:r>
          <w:r>
            <w:fldChar w:fldCharType="begin"/>
          </w:r>
          <w:r>
            <w:instrText xml:space="preserve"> PAGEREF _Toc23109 \h </w:instrText>
          </w:r>
          <w:r>
            <w:fldChar w:fldCharType="separate"/>
          </w:r>
          <w:r>
            <w:t>15</w:t>
          </w:r>
          <w:r>
            <w:fldChar w:fldCharType="end"/>
          </w:r>
          <w:r>
            <w:fldChar w:fldCharType="end"/>
          </w:r>
        </w:p>
        <w:p>
          <w:pPr>
            <w:pStyle w:val="12"/>
            <w:tabs>
              <w:tab w:val="right" w:leader="dot" w:pos="8504"/>
            </w:tabs>
            <w:ind w:left="440"/>
          </w:pPr>
          <w:r>
            <w:fldChar w:fldCharType="begin"/>
          </w:r>
          <w:r>
            <w:instrText xml:space="preserve"> HYPERLINK \l "_Toc23840" </w:instrText>
          </w:r>
          <w:r>
            <w:fldChar w:fldCharType="separate"/>
          </w:r>
          <w:r>
            <w:rPr>
              <w:rFonts w:hint="eastAsia"/>
              <w:lang w:eastAsia="zh-CN"/>
            </w:rPr>
            <w:t>（二）</w:t>
          </w:r>
          <w:r>
            <w:t>教学设施</w:t>
          </w:r>
          <w:r>
            <w:tab/>
          </w:r>
          <w:r>
            <w:fldChar w:fldCharType="begin"/>
          </w:r>
          <w:r>
            <w:instrText xml:space="preserve"> PAGEREF _Toc23840 \h </w:instrText>
          </w:r>
          <w:r>
            <w:fldChar w:fldCharType="separate"/>
          </w:r>
          <w:r>
            <w:t>16</w:t>
          </w:r>
          <w:r>
            <w:fldChar w:fldCharType="end"/>
          </w:r>
          <w:r>
            <w:fldChar w:fldCharType="end"/>
          </w:r>
        </w:p>
        <w:p>
          <w:pPr>
            <w:pStyle w:val="12"/>
            <w:tabs>
              <w:tab w:val="right" w:leader="dot" w:pos="8504"/>
            </w:tabs>
            <w:ind w:left="440"/>
          </w:pPr>
          <w:r>
            <w:fldChar w:fldCharType="begin"/>
          </w:r>
          <w:r>
            <w:instrText xml:space="preserve"> HYPERLINK \l "_Toc30969" </w:instrText>
          </w:r>
          <w:r>
            <w:fldChar w:fldCharType="separate"/>
          </w:r>
          <w:r>
            <w:rPr>
              <w:rFonts w:hint="eastAsia"/>
              <w:lang w:eastAsia="zh-CN"/>
            </w:rPr>
            <w:t>（三）教学资源</w:t>
          </w:r>
          <w:r>
            <w:tab/>
          </w:r>
          <w:r>
            <w:fldChar w:fldCharType="begin"/>
          </w:r>
          <w:r>
            <w:instrText xml:space="preserve"> PAGEREF _Toc30969 \h </w:instrText>
          </w:r>
          <w:r>
            <w:fldChar w:fldCharType="separate"/>
          </w:r>
          <w:r>
            <w:t>17</w:t>
          </w:r>
          <w:r>
            <w:fldChar w:fldCharType="end"/>
          </w:r>
          <w:r>
            <w:fldChar w:fldCharType="end"/>
          </w:r>
        </w:p>
        <w:p>
          <w:pPr>
            <w:pStyle w:val="12"/>
            <w:tabs>
              <w:tab w:val="right" w:leader="dot" w:pos="8504"/>
            </w:tabs>
            <w:ind w:left="440"/>
          </w:pPr>
          <w:r>
            <w:fldChar w:fldCharType="begin"/>
          </w:r>
          <w:r>
            <w:instrText xml:space="preserve"> HYPERLINK \l "_Toc19937" </w:instrText>
          </w:r>
          <w:r>
            <w:fldChar w:fldCharType="separate"/>
          </w:r>
          <w:r>
            <w:rPr>
              <w:rFonts w:hint="eastAsia"/>
              <w:lang w:eastAsia="zh-CN"/>
            </w:rPr>
            <w:t>（四）教学方法</w:t>
          </w:r>
          <w:r>
            <w:tab/>
          </w:r>
          <w:r>
            <w:fldChar w:fldCharType="begin"/>
          </w:r>
          <w:r>
            <w:instrText xml:space="preserve"> PAGEREF _Toc19937 \h </w:instrText>
          </w:r>
          <w:r>
            <w:fldChar w:fldCharType="separate"/>
          </w:r>
          <w:r>
            <w:t>17</w:t>
          </w:r>
          <w:r>
            <w:fldChar w:fldCharType="end"/>
          </w:r>
          <w:r>
            <w:fldChar w:fldCharType="end"/>
          </w:r>
        </w:p>
        <w:p>
          <w:pPr>
            <w:pStyle w:val="12"/>
            <w:tabs>
              <w:tab w:val="right" w:leader="dot" w:pos="8504"/>
            </w:tabs>
            <w:ind w:left="440"/>
          </w:pPr>
          <w:r>
            <w:fldChar w:fldCharType="begin"/>
          </w:r>
          <w:r>
            <w:instrText xml:space="preserve"> HYPERLINK \l "_Toc21697" </w:instrText>
          </w:r>
          <w:r>
            <w:fldChar w:fldCharType="separate"/>
          </w:r>
          <w:r>
            <w:rPr>
              <w:rFonts w:hint="eastAsia"/>
              <w:lang w:eastAsia="zh-CN"/>
            </w:rPr>
            <w:t>（五）教学评价</w:t>
          </w:r>
          <w:r>
            <w:tab/>
          </w:r>
          <w:r>
            <w:fldChar w:fldCharType="begin"/>
          </w:r>
          <w:r>
            <w:instrText xml:space="preserve"> PAGEREF _Toc21697 \h </w:instrText>
          </w:r>
          <w:r>
            <w:fldChar w:fldCharType="separate"/>
          </w:r>
          <w:r>
            <w:t>18</w:t>
          </w:r>
          <w:r>
            <w:fldChar w:fldCharType="end"/>
          </w:r>
          <w:r>
            <w:fldChar w:fldCharType="end"/>
          </w:r>
        </w:p>
        <w:p>
          <w:pPr>
            <w:pStyle w:val="12"/>
            <w:tabs>
              <w:tab w:val="right" w:leader="dot" w:pos="8504"/>
            </w:tabs>
            <w:ind w:left="440"/>
          </w:pPr>
          <w:r>
            <w:fldChar w:fldCharType="begin"/>
          </w:r>
          <w:r>
            <w:instrText xml:space="preserve"> HYPERLINK \l "_Toc29322" </w:instrText>
          </w:r>
          <w:r>
            <w:fldChar w:fldCharType="separate"/>
          </w:r>
          <w:r>
            <w:rPr>
              <w:rFonts w:hint="eastAsia"/>
              <w:lang w:eastAsia="zh-CN"/>
            </w:rPr>
            <w:t>（六）质量管理</w:t>
          </w:r>
          <w:r>
            <w:tab/>
          </w:r>
          <w:r>
            <w:fldChar w:fldCharType="begin"/>
          </w:r>
          <w:r>
            <w:instrText xml:space="preserve"> PAGEREF _Toc29322 \h </w:instrText>
          </w:r>
          <w:r>
            <w:fldChar w:fldCharType="separate"/>
          </w:r>
          <w:r>
            <w:t>18</w:t>
          </w:r>
          <w:r>
            <w:fldChar w:fldCharType="end"/>
          </w:r>
          <w:r>
            <w:fldChar w:fldCharType="end"/>
          </w:r>
        </w:p>
        <w:p>
          <w:pPr>
            <w:pStyle w:val="11"/>
            <w:tabs>
              <w:tab w:val="right" w:leader="dot" w:pos="8504"/>
            </w:tabs>
          </w:pPr>
          <w:r>
            <w:fldChar w:fldCharType="begin"/>
          </w:r>
          <w:r>
            <w:instrText xml:space="preserve"> HYPERLINK \l "_Toc30814" </w:instrText>
          </w:r>
          <w:r>
            <w:fldChar w:fldCharType="separate"/>
          </w:r>
          <w:r>
            <w:rPr>
              <w:rFonts w:hint="eastAsia" w:ascii="黑体" w:hAnsi="黑体" w:eastAsia="黑体" w:cs="黑体"/>
              <w:lang w:eastAsia="zh-CN"/>
            </w:rPr>
            <w:t>九、毕业要求</w:t>
          </w:r>
          <w:r>
            <w:tab/>
          </w:r>
          <w:r>
            <w:fldChar w:fldCharType="begin"/>
          </w:r>
          <w:r>
            <w:instrText xml:space="preserve"> PAGEREF _Toc30814 \h </w:instrText>
          </w:r>
          <w:r>
            <w:fldChar w:fldCharType="separate"/>
          </w:r>
          <w:r>
            <w:t>18</w:t>
          </w:r>
          <w:r>
            <w:fldChar w:fldCharType="end"/>
          </w:r>
          <w:r>
            <w:fldChar w:fldCharType="end"/>
          </w:r>
        </w:p>
        <w:p>
          <w:pPr>
            <w:pStyle w:val="11"/>
            <w:tabs>
              <w:tab w:val="right" w:leader="dot" w:pos="8504"/>
            </w:tabs>
          </w:pPr>
          <w:r>
            <w:fldChar w:fldCharType="begin"/>
          </w:r>
          <w:r>
            <w:instrText xml:space="preserve"> HYPERLINK \l "_Toc9733" </w:instrText>
          </w:r>
          <w:r>
            <w:fldChar w:fldCharType="separate"/>
          </w:r>
          <w:r>
            <w:rPr>
              <w:rFonts w:hint="eastAsia" w:ascii="黑体" w:hAnsi="黑体" w:eastAsia="黑体" w:cs="黑体"/>
              <w:lang w:eastAsia="zh-CN"/>
            </w:rPr>
            <w:t>附件列表：</w:t>
          </w:r>
          <w:r>
            <w:tab/>
          </w:r>
          <w:r>
            <w:fldChar w:fldCharType="begin"/>
          </w:r>
          <w:r>
            <w:instrText xml:space="preserve"> PAGEREF _Toc9733 \h </w:instrText>
          </w:r>
          <w:r>
            <w:fldChar w:fldCharType="separate"/>
          </w:r>
          <w:r>
            <w:t>19</w:t>
          </w:r>
          <w:r>
            <w:fldChar w:fldCharType="end"/>
          </w:r>
          <w:r>
            <w:fldChar w:fldCharType="end"/>
          </w:r>
        </w:p>
        <w:p>
          <w:pPr>
            <w:pStyle w:val="11"/>
            <w:tabs>
              <w:tab w:val="right" w:leader="dot" w:pos="8504"/>
            </w:tabs>
            <w:rPr>
              <w:rFonts w:hint="eastAsia" w:eastAsia="宋体"/>
              <w:lang w:val="en-US" w:eastAsia="zh-CN"/>
            </w:rPr>
          </w:pPr>
          <w:r>
            <w:fldChar w:fldCharType="begin"/>
          </w:r>
          <w:r>
            <w:instrText xml:space="preserve"> HYPERLINK \l "_Toc2458" </w:instrText>
          </w:r>
          <w:r>
            <w:fldChar w:fldCharType="separate"/>
          </w:r>
          <w:r>
            <w:rPr>
              <w:rFonts w:hint="eastAsia" w:ascii="黑体" w:hAnsi="黑体" w:eastAsia="黑体" w:cs="黑体"/>
              <w:lang w:eastAsia="zh-CN"/>
            </w:rPr>
            <w:t>附件一：</w:t>
          </w:r>
          <w:r>
            <w:fldChar w:fldCharType="end"/>
          </w:r>
          <w:r>
            <w:fldChar w:fldCharType="begin"/>
          </w:r>
          <w:r>
            <w:instrText xml:space="preserve"> HYPERLINK \l "_Toc23402" </w:instrText>
          </w:r>
          <w:r>
            <w:fldChar w:fldCharType="separate"/>
          </w:r>
          <w:r>
            <w:fldChar w:fldCharType="end"/>
          </w:r>
          <w:r>
            <w:fldChar w:fldCharType="begin"/>
          </w:r>
          <w:r>
            <w:instrText xml:space="preserve"> HYPERLINK \l "_Toc27068" </w:instrText>
          </w:r>
          <w:r>
            <w:fldChar w:fldCharType="separate"/>
          </w:r>
          <w:r>
            <w:rPr>
              <w:rFonts w:hint="eastAsia" w:ascii="黑体" w:hAnsi="黑体" w:eastAsia="黑体" w:cs="黑体"/>
              <w:bCs/>
              <w:lang w:eastAsia="zh-CN"/>
            </w:rPr>
            <w:t>专业课程课程标准</w:t>
          </w:r>
          <w:r>
            <w:tab/>
          </w:r>
          <w:r>
            <w:fldChar w:fldCharType="begin"/>
          </w:r>
          <w:r>
            <w:instrText xml:space="preserve"> PAGEREF _Toc27068 \h </w:instrText>
          </w:r>
          <w:r>
            <w:fldChar w:fldCharType="separate"/>
          </w:r>
          <w:r>
            <w:t>20</w:t>
          </w:r>
          <w:r>
            <w:fldChar w:fldCharType="end"/>
          </w:r>
          <w:r>
            <w:fldChar w:fldCharType="end"/>
          </w:r>
        </w:p>
        <w:p>
          <w:pPr>
            <w:pStyle w:val="11"/>
            <w:tabs>
              <w:tab w:val="right" w:leader="dot" w:pos="8504"/>
            </w:tabs>
          </w:pPr>
          <w:r>
            <w:fldChar w:fldCharType="begin"/>
          </w:r>
          <w:r>
            <w:instrText xml:space="preserve"> HYPERLINK \l "_Toc6777" </w:instrText>
          </w:r>
          <w:r>
            <w:fldChar w:fldCharType="separate"/>
          </w:r>
          <w:r>
            <w:rPr>
              <w:rFonts w:hint="eastAsia" w:ascii="黑体" w:hAnsi="黑体" w:eastAsia="黑体" w:cs="黑体"/>
              <w:lang w:eastAsia="zh-CN"/>
            </w:rPr>
            <w:t>附件二：现代物流管理专业调研分析报告</w:t>
          </w:r>
          <w:r>
            <w:tab/>
          </w:r>
          <w:r>
            <w:fldChar w:fldCharType="begin"/>
          </w:r>
          <w:r>
            <w:instrText xml:space="preserve"> PAGEREF _Toc6777 \h </w:instrText>
          </w:r>
          <w:r>
            <w:fldChar w:fldCharType="separate"/>
          </w:r>
          <w:r>
            <w:t>21</w:t>
          </w:r>
          <w:r>
            <w:fldChar w:fldCharType="end"/>
          </w:r>
          <w:r>
            <w:fldChar w:fldCharType="end"/>
          </w:r>
          <w:r>
            <w:fldChar w:fldCharType="begin"/>
          </w:r>
          <w:r>
            <w:instrText xml:space="preserve"> HYPERLINK \l "_Toc5017" </w:instrText>
          </w:r>
          <w:r>
            <w:fldChar w:fldCharType="separate"/>
          </w:r>
          <w:r>
            <w:fldChar w:fldCharType="end"/>
          </w:r>
          <w:r>
            <w:fldChar w:fldCharType="begin"/>
          </w:r>
          <w:r>
            <w:instrText xml:space="preserve"> HYPERLINK \l "_Toc23145" </w:instrText>
          </w:r>
          <w:r>
            <w:fldChar w:fldCharType="separate"/>
          </w:r>
          <w:r>
            <w:fldChar w:fldCharType="end"/>
          </w:r>
          <w:r>
            <w:fldChar w:fldCharType="begin"/>
          </w:r>
          <w:r>
            <w:instrText xml:space="preserve"> HYPERLINK \l "_Toc16357" </w:instrText>
          </w:r>
          <w:r>
            <w:fldChar w:fldCharType="separate"/>
          </w:r>
          <w:r>
            <w:fldChar w:fldCharType="end"/>
          </w:r>
        </w:p>
        <w:p>
          <w:pPr>
            <w:pStyle w:val="11"/>
            <w:tabs>
              <w:tab w:val="right" w:leader="dot" w:pos="8504"/>
            </w:tabs>
          </w:pPr>
          <w:r>
            <w:fldChar w:fldCharType="begin"/>
          </w:r>
          <w:r>
            <w:instrText xml:space="preserve"> HYPERLINK \l "_Toc14739" </w:instrText>
          </w:r>
          <w:r>
            <w:fldChar w:fldCharType="separate"/>
          </w:r>
          <w:r>
            <w:rPr>
              <w:rFonts w:hint="eastAsia" w:ascii="黑体" w:hAnsi="黑体" w:eastAsia="黑体" w:cs="黑体"/>
              <w:szCs w:val="24"/>
              <w:lang w:eastAsia="zh-CN"/>
            </w:rPr>
            <w:t>附件三：</w:t>
          </w:r>
          <w:r>
            <w:rPr>
              <w:rFonts w:hint="eastAsia" w:ascii="黑体" w:hAnsi="黑体" w:eastAsia="黑体" w:cs="黑体"/>
              <w:szCs w:val="24"/>
              <w:lang w:val="en-US" w:eastAsia="zh-CN"/>
            </w:rPr>
            <w:t>现代物流管理</w:t>
          </w:r>
          <w:r>
            <w:rPr>
              <w:rFonts w:hint="eastAsia" w:ascii="黑体" w:hAnsi="黑体" w:eastAsia="黑体" w:cs="黑体"/>
              <w:szCs w:val="24"/>
              <w:lang w:eastAsia="zh-CN"/>
            </w:rPr>
            <w:t>专业人才培养方案变更审批表</w:t>
          </w:r>
          <w:r>
            <w:tab/>
          </w:r>
          <w:r>
            <w:fldChar w:fldCharType="begin"/>
          </w:r>
          <w:r>
            <w:instrText xml:space="preserve"> PAGEREF _Toc14739 \h </w:instrText>
          </w:r>
          <w:r>
            <w:fldChar w:fldCharType="separate"/>
          </w:r>
          <w:r>
            <w:t>27</w:t>
          </w:r>
          <w:r>
            <w:fldChar w:fldCharType="end"/>
          </w:r>
          <w:r>
            <w:fldChar w:fldCharType="end"/>
          </w:r>
        </w:p>
        <w:p>
          <w:pPr>
            <w:pStyle w:val="11"/>
            <w:tabs>
              <w:tab w:val="right" w:leader="dot" w:pos="8504"/>
            </w:tabs>
          </w:pPr>
          <w:r>
            <w:fldChar w:fldCharType="begin"/>
          </w:r>
          <w:r>
            <w:instrText xml:space="preserve"> HYPERLINK \l "_Toc32350" </w:instrText>
          </w:r>
          <w:r>
            <w:fldChar w:fldCharType="separate"/>
          </w:r>
          <w:r>
            <w:rPr>
              <w:rFonts w:hint="eastAsia" w:ascii="黑体" w:hAnsi="黑体" w:eastAsia="黑体" w:cs="黑体"/>
              <w:szCs w:val="28"/>
              <w:lang w:eastAsia="zh-CN"/>
            </w:rPr>
            <w:t>附件四：菏泽职业学院</w:t>
          </w:r>
          <w:r>
            <w:rPr>
              <w:rFonts w:hint="eastAsia" w:ascii="黑体" w:hAnsi="黑体" w:eastAsia="黑体" w:cs="黑体"/>
              <w:szCs w:val="28"/>
              <w:lang w:val="en-US" w:eastAsia="zh-CN"/>
            </w:rPr>
            <w:t>商贸物流系</w:t>
          </w:r>
          <w:r>
            <w:rPr>
              <w:rFonts w:hint="eastAsia" w:ascii="黑体" w:hAnsi="黑体" w:eastAsia="黑体" w:cs="黑体"/>
              <w:szCs w:val="28"/>
              <w:lang w:eastAsia="zh-CN"/>
            </w:rPr>
            <w:t>学分制评价标准</w:t>
          </w:r>
          <w:r>
            <w:tab/>
          </w:r>
          <w:r>
            <w:fldChar w:fldCharType="begin"/>
          </w:r>
          <w:r>
            <w:instrText xml:space="preserve"> PAGEREF _Toc32350 \h </w:instrText>
          </w:r>
          <w:r>
            <w:fldChar w:fldCharType="separate"/>
          </w:r>
          <w:r>
            <w:t>28</w:t>
          </w:r>
          <w:r>
            <w:fldChar w:fldCharType="end"/>
          </w:r>
          <w:r>
            <w:fldChar w:fldCharType="end"/>
          </w:r>
        </w:p>
        <w:p>
          <w:pPr>
            <w:pStyle w:val="11"/>
            <w:tabs>
              <w:tab w:val="right" w:leader="dot" w:pos="8504"/>
            </w:tabs>
          </w:pPr>
          <w:r>
            <w:fldChar w:fldCharType="begin"/>
          </w:r>
          <w:r>
            <w:instrText xml:space="preserve"> HYPERLINK \l "_Toc25962" </w:instrText>
          </w:r>
          <w:r>
            <w:fldChar w:fldCharType="separate"/>
          </w:r>
          <w:r>
            <w:rPr>
              <w:rFonts w:hint="eastAsia" w:ascii="黑体" w:hAnsi="黑体" w:eastAsia="黑体" w:cs="黑体"/>
              <w:szCs w:val="28"/>
              <w:lang w:eastAsia="zh-CN"/>
            </w:rPr>
            <w:t>附件五：菏泽职业学院人才培养方案审核意见表</w:t>
          </w:r>
          <w:r>
            <w:tab/>
          </w:r>
          <w:r>
            <w:fldChar w:fldCharType="begin"/>
          </w:r>
          <w:r>
            <w:instrText xml:space="preserve"> PAGEREF _Toc25962 \h </w:instrText>
          </w:r>
          <w:r>
            <w:fldChar w:fldCharType="separate"/>
          </w:r>
          <w:r>
            <w:t>32</w:t>
          </w:r>
          <w:r>
            <w:fldChar w:fldCharType="end"/>
          </w:r>
          <w:r>
            <w:fldChar w:fldCharType="end"/>
          </w:r>
        </w:p>
        <w:p>
          <w:pPr>
            <w:spacing w:line="360" w:lineRule="auto"/>
            <w:ind w:firstLine="440" w:firstLineChars="200"/>
          </w:pPr>
          <w:r>
            <w:fldChar w:fldCharType="end"/>
          </w:r>
        </w:p>
      </w:sdtContent>
    </w:sdt>
    <w:p>
      <w:pPr>
        <w:spacing w:line="360" w:lineRule="auto"/>
        <w:ind w:firstLine="440" w:firstLineChars="200"/>
      </w:pPr>
    </w:p>
    <w:p/>
    <w:p>
      <w:p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0" w:num="1"/>
          <w:docGrid w:type="lines" w:linePitch="317" w:charSpace="0"/>
        </w:sectPr>
      </w:pPr>
    </w:p>
    <w:p/>
    <w:p>
      <w:pPr>
        <w:spacing w:line="360" w:lineRule="auto"/>
        <w:ind w:firstLine="482" w:firstLineChars="200"/>
        <w:outlineLvl w:val="0"/>
        <w:rPr>
          <w:rFonts w:ascii="黑体" w:hAnsi="黑体" w:eastAsia="黑体" w:cs="黑体"/>
          <w:b/>
          <w:bCs/>
          <w:sz w:val="24"/>
          <w:szCs w:val="24"/>
          <w:lang w:eastAsia="zh-CN"/>
        </w:rPr>
      </w:pPr>
      <w:bookmarkStart w:id="0" w:name="_Toc31941"/>
      <w:r>
        <w:rPr>
          <w:rStyle w:val="21"/>
          <w:rFonts w:hint="eastAsia" w:ascii="黑体" w:hAnsi="黑体" w:eastAsia="黑体" w:cs="黑体"/>
          <w:lang w:eastAsia="zh-CN"/>
        </w:rPr>
        <w:t>一、专业名称及代码</w:t>
      </w:r>
      <w:bookmarkEnd w:id="0"/>
    </w:p>
    <w:p>
      <w:pPr>
        <w:spacing w:line="360" w:lineRule="auto"/>
        <w:ind w:firstLine="482" w:firstLineChars="200"/>
        <w:outlineLvl w:val="1"/>
        <w:rPr>
          <w:rStyle w:val="21"/>
          <w:rFonts w:ascii="黑体" w:hAnsi="黑体" w:eastAsia="黑体" w:cs="黑体"/>
          <w:color w:val="FF0000"/>
          <w:lang w:eastAsia="zh-CN"/>
        </w:rPr>
      </w:pPr>
      <w:bookmarkStart w:id="1" w:name="_Toc11555"/>
      <w:r>
        <w:rPr>
          <w:rFonts w:hint="eastAsia"/>
          <w:b/>
          <w:bCs/>
          <w:sz w:val="24"/>
          <w:szCs w:val="24"/>
          <w:lang w:eastAsia="zh-CN"/>
        </w:rPr>
        <w:t>（一）专业名称</w:t>
      </w:r>
      <w:bookmarkEnd w:id="1"/>
    </w:p>
    <w:p>
      <w:pPr>
        <w:spacing w:line="360" w:lineRule="auto"/>
        <w:ind w:firstLine="480" w:firstLineChars="200"/>
        <w:rPr>
          <w:sz w:val="24"/>
          <w:szCs w:val="24"/>
          <w:lang w:eastAsia="zh-CN"/>
        </w:rPr>
      </w:pPr>
      <w:r>
        <w:rPr>
          <w:rFonts w:hint="eastAsia"/>
          <w:sz w:val="24"/>
          <w:szCs w:val="24"/>
          <w:lang w:val="en-US" w:eastAsia="zh-CN"/>
        </w:rPr>
        <w:t>现代物流管理</w:t>
      </w:r>
      <w:r>
        <w:rPr>
          <w:rFonts w:hint="eastAsia"/>
          <w:sz w:val="24"/>
          <w:szCs w:val="24"/>
          <w:lang w:eastAsia="zh-CN"/>
        </w:rPr>
        <w:t>专业</w:t>
      </w:r>
    </w:p>
    <w:p>
      <w:pPr>
        <w:spacing w:line="360" w:lineRule="auto"/>
        <w:ind w:firstLine="482" w:firstLineChars="200"/>
        <w:outlineLvl w:val="1"/>
        <w:rPr>
          <w:b/>
          <w:bCs/>
          <w:sz w:val="24"/>
          <w:szCs w:val="24"/>
          <w:lang w:eastAsia="zh-CN"/>
        </w:rPr>
      </w:pPr>
      <w:bookmarkStart w:id="2" w:name="_Toc6535"/>
      <w:r>
        <w:rPr>
          <w:rFonts w:hint="eastAsia"/>
          <w:b/>
          <w:bCs/>
          <w:sz w:val="24"/>
          <w:szCs w:val="24"/>
          <w:lang w:eastAsia="zh-CN"/>
        </w:rPr>
        <w:t>（二）专业代码</w:t>
      </w:r>
      <w:bookmarkEnd w:id="2"/>
    </w:p>
    <w:p>
      <w:pPr>
        <w:spacing w:line="360" w:lineRule="auto"/>
        <w:ind w:firstLine="480" w:firstLineChars="200"/>
        <w:rPr>
          <w:rFonts w:hint="eastAsia"/>
          <w:sz w:val="24"/>
          <w:szCs w:val="24"/>
          <w:lang w:val="en-US" w:eastAsia="zh-CN"/>
        </w:rPr>
      </w:pPr>
      <w:bookmarkStart w:id="3" w:name="_Toc5395"/>
      <w:r>
        <w:rPr>
          <w:rFonts w:hint="eastAsia"/>
          <w:sz w:val="24"/>
          <w:szCs w:val="24"/>
          <w:lang w:val="en-US" w:eastAsia="zh-CN"/>
        </w:rPr>
        <w:t>530802</w:t>
      </w:r>
    </w:p>
    <w:p>
      <w:pPr>
        <w:spacing w:line="360" w:lineRule="auto"/>
        <w:ind w:firstLine="482" w:firstLineChars="200"/>
        <w:outlineLvl w:val="0"/>
        <w:rPr>
          <w:rStyle w:val="21"/>
          <w:rFonts w:ascii="黑体" w:hAnsi="黑体" w:eastAsia="黑体" w:cs="黑体"/>
          <w:lang w:eastAsia="zh-CN"/>
        </w:rPr>
      </w:pPr>
      <w:r>
        <w:rPr>
          <w:rStyle w:val="21"/>
          <w:rFonts w:hint="eastAsia" w:ascii="黑体" w:hAnsi="黑体" w:eastAsia="黑体" w:cs="黑体"/>
          <w:lang w:eastAsia="zh-CN"/>
        </w:rPr>
        <w:t>二、入学要求</w:t>
      </w:r>
      <w:bookmarkEnd w:id="3"/>
    </w:p>
    <w:p>
      <w:pPr>
        <w:spacing w:line="360" w:lineRule="auto"/>
        <w:ind w:firstLine="480" w:firstLineChars="200"/>
        <w:outlineLvl w:val="0"/>
        <w:rPr>
          <w:rStyle w:val="21"/>
          <w:rFonts w:hint="default" w:ascii="黑体" w:hAnsi="黑体" w:eastAsia="黑体" w:cs="黑体"/>
          <w:lang w:val="en-US" w:eastAsia="zh-CN"/>
        </w:rPr>
      </w:pPr>
      <w:bookmarkStart w:id="4" w:name="_Toc29873"/>
      <w:r>
        <w:rPr>
          <w:rFonts w:hint="eastAsia"/>
          <w:sz w:val="24"/>
          <w:szCs w:val="24"/>
          <w:lang w:val="en-US" w:eastAsia="zh-CN"/>
        </w:rPr>
        <w:t>普通高中、职业高中、中等职业学校毕业或具有同等学力。</w:t>
      </w:r>
    </w:p>
    <w:p>
      <w:pPr>
        <w:spacing w:line="360" w:lineRule="auto"/>
        <w:ind w:firstLine="482" w:firstLineChars="200"/>
        <w:outlineLvl w:val="0"/>
        <w:rPr>
          <w:rStyle w:val="21"/>
          <w:rFonts w:ascii="黑体" w:hAnsi="黑体" w:eastAsia="黑体" w:cs="黑体"/>
          <w:lang w:eastAsia="zh-CN"/>
        </w:rPr>
      </w:pPr>
      <w:r>
        <w:rPr>
          <w:rStyle w:val="21"/>
          <w:rFonts w:hint="eastAsia" w:ascii="黑体" w:hAnsi="黑体" w:eastAsia="黑体" w:cs="黑体"/>
          <w:lang w:eastAsia="zh-CN"/>
        </w:rPr>
        <w:t>三、修学年限</w:t>
      </w:r>
      <w:bookmarkEnd w:id="4"/>
    </w:p>
    <w:p>
      <w:pPr>
        <w:spacing w:line="360" w:lineRule="auto"/>
        <w:ind w:firstLine="480" w:firstLineChars="200"/>
        <w:rPr>
          <w:sz w:val="24"/>
          <w:szCs w:val="24"/>
          <w:lang w:eastAsia="zh-CN"/>
        </w:rPr>
      </w:pPr>
      <w:r>
        <w:rPr>
          <w:rFonts w:hint="eastAsia"/>
          <w:sz w:val="24"/>
          <w:szCs w:val="24"/>
          <w:lang w:eastAsia="zh-CN"/>
        </w:rPr>
        <w:t>全日制3—5年。</w:t>
      </w:r>
    </w:p>
    <w:p>
      <w:pPr>
        <w:spacing w:line="360" w:lineRule="auto"/>
        <w:ind w:firstLine="482" w:firstLineChars="200"/>
        <w:outlineLvl w:val="0"/>
        <w:rPr>
          <w:rStyle w:val="21"/>
          <w:rFonts w:ascii="黑体" w:hAnsi="黑体" w:eastAsia="黑体" w:cs="黑体"/>
        </w:rPr>
      </w:pPr>
      <w:bookmarkStart w:id="5" w:name="_Toc25030"/>
      <w:r>
        <w:rPr>
          <w:rStyle w:val="21"/>
          <w:rFonts w:hint="eastAsia" w:ascii="黑体" w:hAnsi="黑体" w:eastAsia="黑体" w:cs="黑体"/>
        </w:rPr>
        <w:t>四、职业面向</w:t>
      </w:r>
      <w:bookmarkEnd w:id="5"/>
    </w:p>
    <w:tbl>
      <w:tblPr>
        <w:tblStyle w:val="14"/>
        <w:tblW w:w="6282" w:type="dxa"/>
        <w:jc w:val="center"/>
        <w:tblLayout w:type="fixed"/>
        <w:tblCellMar>
          <w:top w:w="0" w:type="dxa"/>
          <w:left w:w="108" w:type="dxa"/>
          <w:bottom w:w="0" w:type="dxa"/>
          <w:right w:w="108" w:type="dxa"/>
        </w:tblCellMar>
      </w:tblPr>
      <w:tblGrid>
        <w:gridCol w:w="1800"/>
        <w:gridCol w:w="1557"/>
        <w:gridCol w:w="1515"/>
        <w:gridCol w:w="1410"/>
      </w:tblGrid>
      <w:tr>
        <w:tblPrEx>
          <w:tblCellMar>
            <w:top w:w="0" w:type="dxa"/>
            <w:left w:w="108" w:type="dxa"/>
            <w:bottom w:w="0" w:type="dxa"/>
            <w:right w:w="108" w:type="dxa"/>
          </w:tblCellMar>
        </w:tblPrEx>
        <w:trPr>
          <w:trHeight w:val="822" w:hRule="atLeast"/>
          <w:jc w:val="center"/>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b/>
                <w:bCs/>
                <w:color w:val="000000"/>
                <w:sz w:val="21"/>
                <w:szCs w:val="21"/>
                <w:lang w:eastAsia="zh-CN" w:bidi="ar"/>
              </w:rPr>
            </w:pPr>
            <w:r>
              <w:rPr>
                <w:rFonts w:hint="eastAsia"/>
                <w:b/>
                <w:bCs/>
                <w:color w:val="000000"/>
                <w:sz w:val="21"/>
                <w:szCs w:val="21"/>
                <w:lang w:eastAsia="zh-CN" w:bidi="ar"/>
              </w:rPr>
              <w:t>主要岗位类别</w:t>
            </w:r>
          </w:p>
          <w:p>
            <w:pPr>
              <w:widowControl/>
              <w:jc w:val="center"/>
              <w:textAlignment w:val="top"/>
              <w:rPr>
                <w:b/>
                <w:bCs/>
                <w:color w:val="000000"/>
                <w:sz w:val="21"/>
                <w:szCs w:val="21"/>
                <w:lang w:eastAsia="zh-CN"/>
              </w:rPr>
            </w:pPr>
            <w:r>
              <w:rPr>
                <w:rFonts w:hint="eastAsia"/>
                <w:b/>
                <w:bCs/>
                <w:color w:val="000000"/>
                <w:sz w:val="21"/>
                <w:szCs w:val="21"/>
                <w:lang w:eastAsia="zh-CN" w:bidi="ar"/>
              </w:rPr>
              <w:t>或技术领域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tblPrEx>
          <w:tblCellMar>
            <w:top w:w="0" w:type="dxa"/>
            <w:left w:w="108" w:type="dxa"/>
            <w:bottom w:w="0" w:type="dxa"/>
            <w:right w:w="108" w:type="dxa"/>
          </w:tblCellMar>
        </w:tblPrEx>
        <w:trPr>
          <w:trHeight w:val="2099" w:hRule="atLeast"/>
          <w:jc w:val="center"/>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color w:val="000000"/>
                <w:sz w:val="24"/>
                <w:szCs w:val="24"/>
                <w:lang w:val="en-US" w:eastAsia="zh-CN"/>
              </w:rPr>
            </w:pPr>
            <w:r>
              <w:rPr>
                <w:rFonts w:hint="eastAsia"/>
                <w:color w:val="000000"/>
                <w:sz w:val="24"/>
                <w:szCs w:val="24"/>
                <w:lang w:val="en-US" w:eastAsia="zh-CN"/>
              </w:rPr>
              <w:t>财经商贸大类</w:t>
            </w:r>
          </w:p>
          <w:p>
            <w:pPr>
              <w:jc w:val="center"/>
              <w:rPr>
                <w:rFonts w:hint="default"/>
                <w:color w:val="000000"/>
                <w:sz w:val="24"/>
                <w:szCs w:val="24"/>
                <w:lang w:val="en-US" w:eastAsia="zh-CN"/>
              </w:rPr>
            </w:pPr>
            <w:r>
              <w:rPr>
                <w:rFonts w:hint="eastAsia"/>
                <w:color w:val="000000"/>
                <w:sz w:val="24"/>
                <w:szCs w:val="24"/>
                <w:lang w:val="en-US" w:eastAsia="zh-CN"/>
              </w:rPr>
              <w:t>（53）</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物流类（5308）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color w:val="000000"/>
                <w:sz w:val="24"/>
                <w:szCs w:val="24"/>
                <w:lang w:val="en-US" w:eastAsia="zh-CN"/>
              </w:rPr>
            </w:pPr>
            <w:r>
              <w:rPr>
                <w:rFonts w:hint="eastAsia"/>
                <w:color w:val="000000"/>
                <w:sz w:val="24"/>
                <w:szCs w:val="24"/>
                <w:lang w:val="en-US" w:eastAsia="zh-CN"/>
              </w:rPr>
              <w:t>运输作业</w:t>
            </w:r>
          </w:p>
          <w:p>
            <w:pPr>
              <w:jc w:val="center"/>
              <w:rPr>
                <w:rFonts w:hint="eastAsia"/>
                <w:color w:val="000000"/>
                <w:sz w:val="24"/>
                <w:szCs w:val="24"/>
                <w:lang w:val="en-US" w:eastAsia="zh-CN"/>
              </w:rPr>
            </w:pPr>
            <w:r>
              <w:rPr>
                <w:rFonts w:hint="eastAsia"/>
                <w:color w:val="000000"/>
                <w:sz w:val="24"/>
                <w:szCs w:val="24"/>
                <w:lang w:val="en-US" w:eastAsia="zh-CN"/>
              </w:rPr>
              <w:t>仓储作业</w:t>
            </w:r>
          </w:p>
          <w:p>
            <w:pPr>
              <w:jc w:val="center"/>
              <w:rPr>
                <w:rFonts w:hint="eastAsia"/>
                <w:color w:val="000000"/>
                <w:sz w:val="24"/>
                <w:szCs w:val="24"/>
                <w:lang w:val="en-US" w:eastAsia="zh-CN"/>
              </w:rPr>
            </w:pPr>
            <w:r>
              <w:rPr>
                <w:rFonts w:hint="eastAsia"/>
                <w:color w:val="000000"/>
                <w:sz w:val="24"/>
                <w:szCs w:val="24"/>
                <w:lang w:val="en-US" w:eastAsia="zh-CN"/>
              </w:rPr>
              <w:t>配送作业</w:t>
            </w:r>
          </w:p>
          <w:p>
            <w:pPr>
              <w:jc w:val="center"/>
              <w:rPr>
                <w:rFonts w:hint="default"/>
                <w:color w:val="000000"/>
                <w:sz w:val="24"/>
                <w:szCs w:val="24"/>
                <w:lang w:val="en-US" w:eastAsia="zh-CN"/>
              </w:rPr>
            </w:pPr>
            <w:r>
              <w:rPr>
                <w:rFonts w:hint="eastAsia"/>
                <w:color w:val="000000"/>
                <w:sz w:val="24"/>
                <w:szCs w:val="24"/>
                <w:lang w:val="en-US" w:eastAsia="zh-CN"/>
              </w:rPr>
              <w:t>采购作业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物流管理职业技能等级证书（中级）</w:t>
            </w:r>
          </w:p>
        </w:tc>
      </w:tr>
    </w:tbl>
    <w:p>
      <w:pPr>
        <w:rPr>
          <w:lang w:eastAsia="zh-CN"/>
        </w:rPr>
      </w:pPr>
    </w:p>
    <w:p>
      <w:pPr>
        <w:spacing w:line="360" w:lineRule="auto"/>
        <w:ind w:firstLine="482" w:firstLineChars="200"/>
        <w:outlineLvl w:val="0"/>
        <w:rPr>
          <w:rStyle w:val="21"/>
          <w:rFonts w:ascii="黑体" w:hAnsi="黑体" w:eastAsia="黑体" w:cs="黑体"/>
          <w:lang w:eastAsia="zh-CN"/>
        </w:rPr>
      </w:pPr>
      <w:bookmarkStart w:id="6" w:name="_Toc11950"/>
      <w:r>
        <w:rPr>
          <w:rStyle w:val="21"/>
          <w:rFonts w:hint="eastAsia" w:ascii="黑体" w:hAnsi="黑体" w:eastAsia="黑体" w:cs="黑体"/>
          <w:lang w:eastAsia="zh-CN"/>
        </w:rPr>
        <w:t>五、培养目标与培养规格</w:t>
      </w:r>
      <w:bookmarkEnd w:id="6"/>
    </w:p>
    <w:p>
      <w:pPr>
        <w:spacing w:line="360" w:lineRule="auto"/>
        <w:ind w:firstLine="482" w:firstLineChars="200"/>
        <w:outlineLvl w:val="1"/>
        <w:rPr>
          <w:b/>
          <w:bCs/>
          <w:sz w:val="24"/>
          <w:szCs w:val="24"/>
          <w:lang w:eastAsia="zh-CN"/>
        </w:rPr>
      </w:pPr>
      <w:bookmarkStart w:id="7" w:name="_Toc9133"/>
      <w:r>
        <w:rPr>
          <w:rFonts w:hint="eastAsia"/>
          <w:b/>
          <w:bCs/>
          <w:sz w:val="24"/>
          <w:szCs w:val="24"/>
          <w:lang w:eastAsia="zh-CN"/>
        </w:rPr>
        <w:t>（一）培养目标</w:t>
      </w:r>
      <w:bookmarkEnd w:id="7"/>
    </w:p>
    <w:p>
      <w:pPr>
        <w:spacing w:line="360" w:lineRule="auto"/>
        <w:ind w:firstLine="480" w:firstLineChars="200"/>
        <w:rPr>
          <w:sz w:val="24"/>
          <w:szCs w:val="24"/>
          <w:lang w:eastAsia="zh-CN"/>
        </w:rPr>
      </w:pPr>
      <w:r>
        <w:rPr>
          <w:rFonts w:hint="eastAsia"/>
          <w:sz w:val="24"/>
          <w:szCs w:val="24"/>
          <w:lang w:eastAsia="zh-CN"/>
        </w:rPr>
        <w:t>培养思想政治坚定、德技并修，德智体美劳全面发展，适应</w:t>
      </w:r>
      <w:r>
        <w:rPr>
          <w:rFonts w:hint="eastAsia"/>
          <w:sz w:val="24"/>
          <w:szCs w:val="24"/>
          <w:lang w:val="en-US" w:eastAsia="zh-CN"/>
        </w:rPr>
        <w:t>行业发展</w:t>
      </w:r>
      <w:r>
        <w:rPr>
          <w:rFonts w:hint="eastAsia"/>
          <w:sz w:val="24"/>
          <w:szCs w:val="24"/>
          <w:lang w:eastAsia="zh-CN"/>
        </w:rPr>
        <w:t>需要，具有</w:t>
      </w:r>
      <w:r>
        <w:rPr>
          <w:rFonts w:hint="eastAsia" w:ascii="宋体" w:hAnsi="宋体" w:cs="宋体"/>
          <w:sz w:val="24"/>
          <w:szCs w:val="24"/>
        </w:rPr>
        <w:t>良好的职业素质和敬业精神</w:t>
      </w:r>
      <w:r>
        <w:rPr>
          <w:rFonts w:hint="eastAsia"/>
          <w:sz w:val="24"/>
          <w:szCs w:val="24"/>
          <w:lang w:eastAsia="zh-CN"/>
        </w:rPr>
        <w:t>，掌握</w:t>
      </w:r>
      <w:r>
        <w:rPr>
          <w:rFonts w:hint="eastAsia" w:ascii="宋体" w:hAnsi="宋体" w:cs="宋体"/>
          <w:sz w:val="24"/>
          <w:szCs w:val="24"/>
        </w:rPr>
        <w:t>现代物流管理的基本原理</w:t>
      </w:r>
      <w:r>
        <w:rPr>
          <w:rFonts w:hint="eastAsia" w:cs="宋体"/>
          <w:sz w:val="24"/>
          <w:szCs w:val="24"/>
          <w:lang w:eastAsia="zh-CN"/>
        </w:rPr>
        <w:t>，</w:t>
      </w:r>
      <w:r>
        <w:rPr>
          <w:rFonts w:hint="eastAsia" w:ascii="宋体" w:hAnsi="宋体" w:cs="宋体"/>
          <w:sz w:val="24"/>
          <w:szCs w:val="24"/>
        </w:rPr>
        <w:t>具备从事物流策划、运输管理、配送、加工和仓储管理等工作能力</w:t>
      </w:r>
      <w:r>
        <w:rPr>
          <w:rFonts w:hint="eastAsia" w:cs="宋体"/>
          <w:sz w:val="24"/>
          <w:szCs w:val="24"/>
          <w:lang w:eastAsia="zh-CN"/>
        </w:rPr>
        <w:t>，</w:t>
      </w:r>
      <w:r>
        <w:rPr>
          <w:rFonts w:hint="eastAsia" w:ascii="宋体" w:hAnsi="宋体" w:cs="宋体"/>
          <w:sz w:val="24"/>
          <w:szCs w:val="24"/>
        </w:rPr>
        <w:t>具备较强的综合物流信息系统应用能力和物流活动操作</w:t>
      </w:r>
      <w:r>
        <w:rPr>
          <w:rFonts w:hint="eastAsia"/>
          <w:sz w:val="24"/>
          <w:szCs w:val="24"/>
          <w:lang w:eastAsia="zh-CN"/>
        </w:rPr>
        <w:t>等知识和技术技能，面向</w:t>
      </w:r>
      <w:r>
        <w:rPr>
          <w:rFonts w:hint="eastAsia" w:ascii="宋体" w:hAnsi="宋体" w:cs="宋体"/>
          <w:sz w:val="24"/>
          <w:szCs w:val="24"/>
        </w:rPr>
        <w:t>工商企业、零售业、生产制造业和第三方物流公司</w:t>
      </w:r>
      <w:r>
        <w:rPr>
          <w:rFonts w:hint="eastAsia"/>
          <w:sz w:val="24"/>
          <w:szCs w:val="24"/>
          <w:lang w:eastAsia="zh-CN"/>
        </w:rPr>
        <w:t>领域的高素质劳动者和技术技能人才。</w:t>
      </w:r>
    </w:p>
    <w:p>
      <w:pPr>
        <w:adjustRightInd w:val="0"/>
        <w:spacing w:line="360" w:lineRule="auto"/>
        <w:ind w:firstLine="482" w:firstLineChars="200"/>
        <w:outlineLvl w:val="1"/>
        <w:rPr>
          <w:b/>
          <w:sz w:val="24"/>
          <w:szCs w:val="24"/>
          <w:lang w:eastAsia="zh-CN"/>
        </w:rPr>
      </w:pPr>
      <w:bookmarkStart w:id="8" w:name="_Toc10490"/>
      <w:r>
        <w:rPr>
          <w:rFonts w:hint="eastAsia"/>
          <w:b/>
          <w:sz w:val="24"/>
          <w:szCs w:val="24"/>
          <w:lang w:eastAsia="zh-CN"/>
        </w:rPr>
        <w:t>（二）培养规格</w:t>
      </w:r>
      <w:bookmarkEnd w:id="8"/>
    </w:p>
    <w:p>
      <w:pPr>
        <w:adjustRightInd w:val="0"/>
        <w:snapToGrid w:val="0"/>
        <w:spacing w:line="360" w:lineRule="auto"/>
        <w:ind w:firstLine="482" w:firstLineChars="200"/>
        <w:rPr>
          <w:b/>
          <w:sz w:val="24"/>
          <w:szCs w:val="24"/>
          <w:lang w:eastAsia="zh-CN"/>
        </w:rPr>
      </w:pPr>
      <w:r>
        <w:rPr>
          <w:b/>
          <w:sz w:val="24"/>
          <w:szCs w:val="24"/>
          <w:lang w:eastAsia="zh-CN"/>
        </w:rPr>
        <w:t>1.</w:t>
      </w:r>
      <w:r>
        <w:rPr>
          <w:rFonts w:hint="eastAsia"/>
          <w:b/>
          <w:sz w:val="24"/>
          <w:szCs w:val="24"/>
          <w:lang w:eastAsia="zh-CN"/>
        </w:rPr>
        <w:t>素质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napToGrid w:val="0"/>
        <w:spacing w:line="360" w:lineRule="auto"/>
        <w:ind w:firstLine="480" w:firstLineChars="20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napToGrid w:val="0"/>
        <w:spacing w:line="360" w:lineRule="auto"/>
        <w:ind w:firstLine="480" w:firstLineChars="20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adjustRightInd w:val="0"/>
        <w:snapToGrid w:val="0"/>
        <w:spacing w:line="360" w:lineRule="auto"/>
        <w:ind w:firstLine="482" w:firstLineChars="200"/>
        <w:rPr>
          <w:b/>
          <w:sz w:val="24"/>
          <w:szCs w:val="24"/>
          <w:lang w:eastAsia="zh-CN"/>
        </w:rPr>
      </w:pPr>
      <w:r>
        <w:rPr>
          <w:b/>
          <w:sz w:val="24"/>
          <w:szCs w:val="24"/>
          <w:lang w:eastAsia="zh-CN"/>
        </w:rPr>
        <w:t>2.</w:t>
      </w:r>
      <w:r>
        <w:rPr>
          <w:rFonts w:hint="eastAsia"/>
          <w:b/>
          <w:sz w:val="24"/>
          <w:szCs w:val="24"/>
          <w:lang w:eastAsia="zh-CN"/>
        </w:rPr>
        <w:t>知识</w:t>
      </w:r>
    </w:p>
    <w:p>
      <w:pPr>
        <w:snapToGrid w:val="0"/>
        <w:spacing w:line="360" w:lineRule="auto"/>
        <w:ind w:firstLine="480" w:firstLineChars="20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pPr>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熟悉与本专业相关的法律法规以及网络信息安全条例等相关知识；</w:t>
      </w:r>
    </w:p>
    <w:p>
      <w:pPr>
        <w:snapToGrid w:val="0"/>
        <w:spacing w:line="360" w:lineRule="auto"/>
        <w:ind w:firstLine="480" w:firstLineChars="200"/>
        <w:rPr>
          <w:sz w:val="24"/>
          <w:szCs w:val="24"/>
          <w:lang w:eastAsia="zh-CN"/>
        </w:rPr>
      </w:pPr>
      <w:r>
        <w:rPr>
          <w:rFonts w:hint="eastAsia"/>
          <w:sz w:val="24"/>
          <w:szCs w:val="24"/>
          <w:lang w:eastAsia="zh-CN"/>
        </w:rPr>
        <w:t>（3）</w:t>
      </w:r>
      <w:r>
        <w:rPr>
          <w:sz w:val="24"/>
          <w:szCs w:val="24"/>
          <w:lang w:eastAsia="zh-CN"/>
        </w:rPr>
        <w:t>掌握创新、创业的基本知识，具备创新精神、创业意识和创新创业能力；</w:t>
      </w:r>
    </w:p>
    <w:p>
      <w:pPr>
        <w:snapToGrid w:val="0"/>
        <w:spacing w:line="360" w:lineRule="auto"/>
        <w:ind w:firstLine="480" w:firstLineChars="200"/>
        <w:rPr>
          <w:sz w:val="24"/>
          <w:szCs w:val="24"/>
          <w:lang w:eastAsia="zh-CN"/>
        </w:rPr>
      </w:pPr>
      <w:r>
        <w:rPr>
          <w:rFonts w:hint="eastAsia"/>
          <w:sz w:val="24"/>
          <w:szCs w:val="24"/>
          <w:lang w:eastAsia="zh-CN"/>
        </w:rPr>
        <w:t>（4）</w:t>
      </w:r>
      <w:r>
        <w:rPr>
          <w:rFonts w:hint="eastAsia"/>
          <w:sz w:val="24"/>
        </w:rPr>
        <w:t>掌握经济学、管理学、统计学、市场营销的基本理论和方法</w:t>
      </w:r>
      <w:r>
        <w:rPr>
          <w:sz w:val="24"/>
          <w:szCs w:val="24"/>
          <w:lang w:eastAsia="zh-CN"/>
        </w:rPr>
        <w:t>；</w:t>
      </w:r>
    </w:p>
    <w:p>
      <w:pPr>
        <w:spacing w:line="360" w:lineRule="auto"/>
        <w:ind w:firstLine="480" w:firstLineChars="200"/>
        <w:rPr>
          <w:sz w:val="24"/>
          <w:szCs w:val="24"/>
          <w:lang w:eastAsia="zh-CN"/>
        </w:rPr>
      </w:pPr>
      <w:r>
        <w:rPr>
          <w:rFonts w:hint="eastAsia"/>
          <w:sz w:val="24"/>
          <w:szCs w:val="24"/>
          <w:lang w:eastAsia="zh-CN"/>
        </w:rPr>
        <w:t>（5）</w:t>
      </w:r>
      <w:r>
        <w:rPr>
          <w:rFonts w:hint="eastAsia"/>
          <w:sz w:val="24"/>
        </w:rPr>
        <w:t>掌握为达到本专业培养目标所必须的专业知识，包括：物流基础、仓储管理、配送管理、采购管理、运输管理、生产运作管理等基本知识</w:t>
      </w:r>
      <w:r>
        <w:rPr>
          <w:rFonts w:hint="eastAsia"/>
          <w:sz w:val="24"/>
          <w:lang w:eastAsia="zh-CN"/>
        </w:rPr>
        <w:t>。</w:t>
      </w:r>
    </w:p>
    <w:p>
      <w:pPr>
        <w:snapToGrid w:val="0"/>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sz w:val="24"/>
          <w:szCs w:val="24"/>
          <w:lang w:eastAsia="zh-CN"/>
        </w:rPr>
        <w:t>了解本专业现状及发展趋势，了解行业相关的方针、政策和法规。</w:t>
      </w:r>
    </w:p>
    <w:p>
      <w:pPr>
        <w:adjustRightInd w:val="0"/>
        <w:snapToGrid w:val="0"/>
        <w:spacing w:line="360" w:lineRule="auto"/>
        <w:ind w:firstLine="482" w:firstLineChars="200"/>
        <w:rPr>
          <w:b/>
          <w:sz w:val="24"/>
          <w:szCs w:val="24"/>
          <w:lang w:eastAsia="zh-CN"/>
        </w:rPr>
      </w:pPr>
      <w:r>
        <w:rPr>
          <w:b/>
          <w:sz w:val="24"/>
          <w:szCs w:val="24"/>
          <w:lang w:eastAsia="zh-CN"/>
        </w:rPr>
        <w:t>3.</w:t>
      </w:r>
      <w:r>
        <w:rPr>
          <w:rFonts w:hint="eastAsia"/>
          <w:b/>
          <w:sz w:val="24"/>
          <w:szCs w:val="24"/>
          <w:lang w:eastAsia="zh-CN"/>
        </w:rPr>
        <w:t>能力</w:t>
      </w:r>
    </w:p>
    <w:p>
      <w:pPr>
        <w:spacing w:line="440" w:lineRule="exact"/>
        <w:ind w:firstLine="480" w:firstLineChars="200"/>
        <w:rPr>
          <w:rFonts w:ascii="宋体" w:hAnsi="宋体" w:cs="宋体"/>
          <w:sz w:val="24"/>
          <w:szCs w:val="24"/>
        </w:rPr>
      </w:pPr>
      <w:bookmarkStart w:id="9" w:name="_Toc17892"/>
      <w:r>
        <w:rPr>
          <w:rFonts w:hint="eastAsia" w:cs="宋体"/>
          <w:sz w:val="24"/>
          <w:szCs w:val="24"/>
          <w:lang w:eastAsia="zh-CN"/>
        </w:rPr>
        <w:t>（</w:t>
      </w:r>
      <w:r>
        <w:rPr>
          <w:rFonts w:hint="eastAsia" w:ascii="宋体" w:hAnsi="宋体" w:cs="宋体"/>
          <w:sz w:val="24"/>
          <w:szCs w:val="24"/>
        </w:rPr>
        <w:t>1</w:t>
      </w:r>
      <w:r>
        <w:rPr>
          <w:rFonts w:hint="eastAsia" w:cs="宋体"/>
          <w:sz w:val="24"/>
          <w:szCs w:val="24"/>
          <w:lang w:eastAsia="zh-CN"/>
        </w:rPr>
        <w:t>）</w:t>
      </w:r>
      <w:r>
        <w:rPr>
          <w:rFonts w:hint="eastAsia" w:ascii="宋体" w:hAnsi="宋体" w:cs="宋体"/>
          <w:sz w:val="24"/>
          <w:szCs w:val="24"/>
        </w:rPr>
        <w:t>专业能力</w:t>
      </w:r>
    </w:p>
    <w:p>
      <w:pPr>
        <w:numPr>
          <w:ilvl w:val="0"/>
          <w:numId w:val="1"/>
        </w:numPr>
        <w:spacing w:line="440" w:lineRule="exact"/>
        <w:rPr>
          <w:rFonts w:ascii="宋体" w:hAnsi="宋体" w:cs="宋体"/>
          <w:sz w:val="24"/>
          <w:szCs w:val="24"/>
        </w:rPr>
      </w:pPr>
      <w:r>
        <w:rPr>
          <w:rFonts w:hint="eastAsia" w:ascii="宋体" w:hAnsi="宋体" w:cs="宋体"/>
          <w:sz w:val="24"/>
          <w:szCs w:val="24"/>
        </w:rPr>
        <w:t>熟练掌握物流专业知识，具有物流相关工作的管理能力</w:t>
      </w:r>
      <w:r>
        <w:rPr>
          <w:rFonts w:hint="eastAsia" w:ascii="宋体" w:hAnsi="宋体" w:cs="宋体"/>
          <w:sz w:val="24"/>
          <w:szCs w:val="24"/>
          <w:lang w:eastAsia="zh-CN"/>
        </w:rPr>
        <w:t>；</w:t>
      </w:r>
    </w:p>
    <w:p>
      <w:pPr>
        <w:numPr>
          <w:ilvl w:val="0"/>
          <w:numId w:val="1"/>
        </w:numPr>
        <w:spacing w:line="440" w:lineRule="exact"/>
        <w:rPr>
          <w:rFonts w:ascii="宋体" w:hAnsi="宋体" w:cs="宋体"/>
          <w:sz w:val="24"/>
          <w:szCs w:val="24"/>
        </w:rPr>
      </w:pPr>
      <w:r>
        <w:rPr>
          <w:rFonts w:hint="eastAsia" w:ascii="宋体" w:hAnsi="宋体" w:cs="宋体"/>
          <w:sz w:val="24"/>
          <w:szCs w:val="24"/>
        </w:rPr>
        <w:t>具有物流相关信息</w:t>
      </w:r>
      <w:r>
        <w:rPr>
          <w:rFonts w:hint="eastAsia" w:ascii="宋体" w:hAnsi="宋体" w:cs="宋体"/>
          <w:sz w:val="24"/>
          <w:szCs w:val="24"/>
          <w:lang w:eastAsia="zh-CN"/>
        </w:rPr>
        <w:t>的</w:t>
      </w:r>
      <w:r>
        <w:rPr>
          <w:rFonts w:hint="eastAsia" w:ascii="宋体" w:hAnsi="宋体" w:cs="宋体"/>
          <w:sz w:val="24"/>
          <w:szCs w:val="24"/>
        </w:rPr>
        <w:t>收集和处理能力</w:t>
      </w:r>
      <w:r>
        <w:rPr>
          <w:rFonts w:hint="eastAsia" w:ascii="宋体" w:hAnsi="宋体" w:cs="宋体"/>
          <w:sz w:val="24"/>
          <w:szCs w:val="24"/>
          <w:lang w:eastAsia="zh-CN"/>
        </w:rPr>
        <w:t>；</w:t>
      </w:r>
    </w:p>
    <w:p>
      <w:pPr>
        <w:numPr>
          <w:ilvl w:val="0"/>
          <w:numId w:val="1"/>
        </w:numPr>
        <w:spacing w:line="440" w:lineRule="exact"/>
        <w:rPr>
          <w:rFonts w:ascii="宋体" w:hAnsi="宋体" w:cs="宋体"/>
          <w:sz w:val="24"/>
          <w:szCs w:val="24"/>
        </w:rPr>
      </w:pPr>
      <w:r>
        <w:rPr>
          <w:rFonts w:hint="eastAsia" w:ascii="宋体" w:hAnsi="宋体" w:cs="宋体"/>
          <w:sz w:val="24"/>
          <w:szCs w:val="24"/>
        </w:rPr>
        <w:t>具有成本分析和财务运作能力</w:t>
      </w:r>
      <w:r>
        <w:rPr>
          <w:rFonts w:hint="eastAsia" w:ascii="宋体" w:hAnsi="宋体" w:cs="宋体"/>
          <w:sz w:val="24"/>
          <w:szCs w:val="24"/>
          <w:lang w:eastAsia="zh-CN"/>
        </w:rPr>
        <w:t>；</w:t>
      </w:r>
    </w:p>
    <w:p>
      <w:pPr>
        <w:numPr>
          <w:ilvl w:val="0"/>
          <w:numId w:val="1"/>
        </w:numPr>
        <w:spacing w:line="440" w:lineRule="exact"/>
        <w:rPr>
          <w:rFonts w:ascii="宋体" w:hAnsi="宋体" w:cs="宋体"/>
          <w:sz w:val="24"/>
          <w:szCs w:val="24"/>
        </w:rPr>
      </w:pPr>
      <w:r>
        <w:rPr>
          <w:rFonts w:hint="eastAsia" w:ascii="宋体" w:hAnsi="宋体" w:cs="宋体"/>
          <w:sz w:val="24"/>
          <w:szCs w:val="24"/>
        </w:rPr>
        <w:t>具有物流方案规划设计和优化的能力</w:t>
      </w:r>
      <w:r>
        <w:rPr>
          <w:rFonts w:hint="eastAsia" w:ascii="宋体" w:hAnsi="宋体" w:cs="宋体"/>
          <w:sz w:val="24"/>
          <w:szCs w:val="24"/>
          <w:lang w:eastAsia="zh-CN"/>
        </w:rPr>
        <w:t>；</w:t>
      </w:r>
    </w:p>
    <w:p>
      <w:pPr>
        <w:numPr>
          <w:ilvl w:val="0"/>
          <w:numId w:val="1"/>
        </w:numPr>
        <w:spacing w:line="440" w:lineRule="exact"/>
        <w:rPr>
          <w:rFonts w:ascii="宋体" w:hAnsi="宋体" w:cs="宋体"/>
          <w:sz w:val="24"/>
          <w:szCs w:val="24"/>
        </w:rPr>
      </w:pPr>
      <w:r>
        <w:rPr>
          <w:rFonts w:hint="eastAsia" w:ascii="宋体" w:hAnsi="宋体" w:cs="宋体"/>
          <w:sz w:val="24"/>
          <w:szCs w:val="24"/>
        </w:rPr>
        <w:t>具有运用现代信息技术和设备从事相关物流工作的能力</w:t>
      </w:r>
      <w:r>
        <w:rPr>
          <w:rFonts w:hint="eastAsia" w:ascii="宋体" w:hAnsi="宋体" w:cs="宋体"/>
          <w:sz w:val="24"/>
          <w:szCs w:val="24"/>
          <w:lang w:eastAsia="zh-CN"/>
        </w:rPr>
        <w:t>；</w:t>
      </w:r>
    </w:p>
    <w:p>
      <w:pPr>
        <w:numPr>
          <w:ilvl w:val="0"/>
          <w:numId w:val="1"/>
        </w:numPr>
        <w:spacing w:line="440" w:lineRule="exact"/>
        <w:rPr>
          <w:rFonts w:ascii="宋体" w:hAnsi="宋体" w:cs="宋体"/>
          <w:sz w:val="24"/>
          <w:szCs w:val="24"/>
        </w:rPr>
      </w:pPr>
      <w:r>
        <w:rPr>
          <w:rFonts w:hint="eastAsia" w:ascii="宋体" w:hAnsi="宋体" w:cs="宋体"/>
          <w:sz w:val="24"/>
          <w:szCs w:val="24"/>
        </w:rPr>
        <w:t>具有物流相关软件的操作能力</w:t>
      </w:r>
      <w:r>
        <w:rPr>
          <w:rFonts w:hint="eastAsia" w:ascii="宋体" w:hAnsi="宋体" w:cs="宋体"/>
          <w:sz w:val="24"/>
          <w:szCs w:val="24"/>
          <w:lang w:eastAsia="zh-CN"/>
        </w:rPr>
        <w:t>；</w:t>
      </w:r>
    </w:p>
    <w:p>
      <w:pPr>
        <w:numPr>
          <w:ilvl w:val="0"/>
          <w:numId w:val="1"/>
        </w:numPr>
        <w:spacing w:line="440" w:lineRule="exact"/>
        <w:rPr>
          <w:rFonts w:ascii="宋体" w:hAnsi="宋体" w:cs="宋体"/>
          <w:sz w:val="24"/>
          <w:szCs w:val="24"/>
        </w:rPr>
      </w:pPr>
      <w:r>
        <w:rPr>
          <w:rFonts w:hint="eastAsia" w:ascii="宋体" w:hAnsi="宋体" w:cs="宋体"/>
          <w:sz w:val="24"/>
          <w:szCs w:val="24"/>
        </w:rPr>
        <w:t>具有运用相关法律知识维护自身权益的能力</w:t>
      </w:r>
      <w:r>
        <w:rPr>
          <w:rFonts w:hint="eastAsia" w:ascii="宋体" w:hAnsi="宋体" w:cs="宋体"/>
          <w:sz w:val="24"/>
          <w:szCs w:val="24"/>
          <w:lang w:eastAsia="zh-CN"/>
        </w:rPr>
        <w:t>；</w:t>
      </w:r>
    </w:p>
    <w:p>
      <w:pPr>
        <w:numPr>
          <w:ilvl w:val="0"/>
          <w:numId w:val="1"/>
        </w:numPr>
        <w:spacing w:line="440" w:lineRule="exact"/>
        <w:rPr>
          <w:rFonts w:ascii="宋体" w:hAnsi="宋体" w:cs="宋体"/>
          <w:sz w:val="24"/>
          <w:szCs w:val="24"/>
        </w:rPr>
      </w:pPr>
      <w:r>
        <w:rPr>
          <w:rFonts w:hint="eastAsia" w:ascii="宋体" w:hAnsi="宋体" w:cs="宋体"/>
          <w:sz w:val="24"/>
          <w:szCs w:val="24"/>
        </w:rPr>
        <w:t>具有物流案例分析能力</w:t>
      </w:r>
      <w:r>
        <w:rPr>
          <w:rFonts w:hint="eastAsia" w:ascii="宋体" w:hAnsi="宋体" w:cs="宋体"/>
          <w:sz w:val="24"/>
          <w:szCs w:val="24"/>
          <w:lang w:eastAsia="zh-CN"/>
        </w:rPr>
        <w:t>；</w:t>
      </w:r>
    </w:p>
    <w:p>
      <w:pPr>
        <w:spacing w:line="440" w:lineRule="exact"/>
        <w:ind w:firstLine="480" w:firstLineChars="200"/>
        <w:rPr>
          <w:rFonts w:ascii="宋体" w:hAnsi="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cs="宋体"/>
          <w:sz w:val="24"/>
          <w:szCs w:val="24"/>
        </w:rPr>
        <w:t>方法能力</w:t>
      </w:r>
    </w:p>
    <w:p>
      <w:pPr>
        <w:numPr>
          <w:ilvl w:val="0"/>
          <w:numId w:val="2"/>
        </w:numPr>
        <w:spacing w:line="440" w:lineRule="exact"/>
        <w:rPr>
          <w:rFonts w:ascii="宋体" w:hAnsi="宋体" w:cs="宋体"/>
          <w:sz w:val="24"/>
          <w:szCs w:val="24"/>
        </w:rPr>
      </w:pPr>
      <w:r>
        <w:rPr>
          <w:rFonts w:hint="eastAsia" w:ascii="宋体" w:hAnsi="宋体" w:cs="宋体"/>
          <w:sz w:val="24"/>
          <w:szCs w:val="24"/>
        </w:rPr>
        <w:t>提高学生的自主学习能力、分析运用能力、可持续发展能力，增强学生的体质、心智、意志，使其成为具有健全人格、高尚情操、德智体美全面发展的高素质技能型应用人才</w:t>
      </w:r>
      <w:r>
        <w:rPr>
          <w:rFonts w:hint="eastAsia" w:ascii="宋体" w:hAnsi="宋体" w:cs="宋体"/>
          <w:sz w:val="24"/>
          <w:szCs w:val="24"/>
          <w:lang w:eastAsia="zh-CN"/>
        </w:rPr>
        <w:t>；</w:t>
      </w:r>
    </w:p>
    <w:p>
      <w:pPr>
        <w:numPr>
          <w:ilvl w:val="0"/>
          <w:numId w:val="2"/>
        </w:numPr>
        <w:spacing w:line="440" w:lineRule="exact"/>
        <w:rPr>
          <w:rFonts w:ascii="宋体" w:hAnsi="宋体" w:cs="宋体"/>
          <w:sz w:val="24"/>
          <w:szCs w:val="24"/>
        </w:rPr>
      </w:pPr>
      <w:r>
        <w:rPr>
          <w:rFonts w:hint="eastAsia" w:ascii="宋体" w:hAnsi="宋体" w:cs="宋体"/>
          <w:sz w:val="24"/>
          <w:szCs w:val="24"/>
        </w:rPr>
        <w:t>自我管理能力：确定符合实际的个人发展方向并制定切实可行的发展规划、安排并有效利用时间完成阶段工作任务和学习计划；不断获得新知识、新技能来适应新的和变化着的环境</w:t>
      </w:r>
      <w:r>
        <w:rPr>
          <w:rFonts w:hint="eastAsia" w:ascii="宋体" w:hAnsi="宋体" w:cs="宋体"/>
          <w:sz w:val="24"/>
          <w:szCs w:val="24"/>
          <w:lang w:eastAsia="zh-CN"/>
        </w:rPr>
        <w:t>；</w:t>
      </w:r>
    </w:p>
    <w:p>
      <w:pPr>
        <w:numPr>
          <w:ilvl w:val="0"/>
          <w:numId w:val="2"/>
        </w:numPr>
        <w:spacing w:line="440" w:lineRule="exact"/>
        <w:rPr>
          <w:rFonts w:ascii="宋体" w:hAnsi="宋体" w:cs="宋体"/>
          <w:sz w:val="24"/>
          <w:szCs w:val="24"/>
        </w:rPr>
      </w:pPr>
      <w:r>
        <w:rPr>
          <w:rFonts w:hint="eastAsia" w:ascii="宋体" w:hAnsi="宋体" w:cs="宋体"/>
          <w:sz w:val="24"/>
          <w:szCs w:val="24"/>
        </w:rPr>
        <w:t>创新能力：在三年的学习中，通过实习、实训和毕业设计（论文）培养学生勤于思考，乐于探索，发现及解决问题的创新能力</w:t>
      </w:r>
      <w:r>
        <w:rPr>
          <w:rFonts w:hint="eastAsia" w:ascii="宋体" w:hAnsi="宋体" w:cs="宋体"/>
          <w:sz w:val="24"/>
          <w:szCs w:val="24"/>
          <w:lang w:eastAsia="zh-CN"/>
        </w:rPr>
        <w:t>。</w:t>
      </w:r>
    </w:p>
    <w:p>
      <w:pPr>
        <w:spacing w:line="440" w:lineRule="exact"/>
        <w:ind w:firstLine="480" w:firstLineChars="200"/>
        <w:rPr>
          <w:rFonts w:ascii="宋体" w:hAnsi="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cs="宋体"/>
          <w:sz w:val="24"/>
          <w:szCs w:val="24"/>
        </w:rPr>
        <w:t>社会能力</w:t>
      </w:r>
    </w:p>
    <w:p>
      <w:pPr>
        <w:numPr>
          <w:ilvl w:val="0"/>
          <w:numId w:val="3"/>
        </w:numPr>
        <w:spacing w:line="440" w:lineRule="exact"/>
        <w:rPr>
          <w:rFonts w:ascii="宋体" w:hAnsi="宋体" w:cs="宋体"/>
          <w:sz w:val="24"/>
          <w:szCs w:val="24"/>
        </w:rPr>
      </w:pPr>
      <w:r>
        <w:rPr>
          <w:rFonts w:hint="eastAsia" w:ascii="宋体" w:hAnsi="宋体" w:cs="宋体"/>
          <w:sz w:val="24"/>
          <w:szCs w:val="24"/>
        </w:rPr>
        <w:t>良好的思想政治素质，较强的法律意识和责任意识</w:t>
      </w:r>
      <w:r>
        <w:rPr>
          <w:rFonts w:hint="eastAsia" w:ascii="宋体" w:hAnsi="宋体" w:cs="宋体"/>
          <w:sz w:val="24"/>
          <w:szCs w:val="24"/>
          <w:lang w:eastAsia="zh-CN"/>
        </w:rPr>
        <w:t>；</w:t>
      </w:r>
    </w:p>
    <w:p>
      <w:pPr>
        <w:numPr>
          <w:ilvl w:val="0"/>
          <w:numId w:val="3"/>
        </w:numPr>
        <w:spacing w:line="440" w:lineRule="exact"/>
        <w:rPr>
          <w:rFonts w:ascii="宋体" w:hAnsi="宋体" w:cs="宋体"/>
          <w:sz w:val="24"/>
          <w:szCs w:val="24"/>
        </w:rPr>
      </w:pPr>
      <w:r>
        <w:rPr>
          <w:rFonts w:hint="eastAsia" w:ascii="宋体" w:hAnsi="宋体" w:cs="宋体"/>
          <w:sz w:val="24"/>
          <w:szCs w:val="24"/>
        </w:rPr>
        <w:t>良好的职业品格和严谨的行为规范</w:t>
      </w:r>
      <w:r>
        <w:rPr>
          <w:rFonts w:hint="eastAsia" w:ascii="宋体" w:hAnsi="宋体" w:cs="宋体"/>
          <w:sz w:val="24"/>
          <w:szCs w:val="24"/>
          <w:lang w:eastAsia="zh-CN"/>
        </w:rPr>
        <w:t>；</w:t>
      </w:r>
    </w:p>
    <w:p>
      <w:pPr>
        <w:numPr>
          <w:ilvl w:val="0"/>
          <w:numId w:val="3"/>
        </w:numPr>
        <w:spacing w:line="440" w:lineRule="exact"/>
        <w:rPr>
          <w:rFonts w:ascii="宋体" w:hAnsi="宋体" w:cs="宋体"/>
          <w:sz w:val="24"/>
          <w:szCs w:val="24"/>
        </w:rPr>
      </w:pPr>
      <w:r>
        <w:rPr>
          <w:rFonts w:hint="eastAsia" w:ascii="宋体" w:hAnsi="宋体" w:cs="宋体"/>
          <w:sz w:val="24"/>
          <w:szCs w:val="24"/>
        </w:rPr>
        <w:t>较强的团队精神和协作精神</w:t>
      </w:r>
      <w:r>
        <w:rPr>
          <w:rFonts w:hint="eastAsia" w:ascii="宋体" w:hAnsi="宋体" w:cs="宋体"/>
          <w:sz w:val="24"/>
          <w:szCs w:val="24"/>
          <w:lang w:eastAsia="zh-CN"/>
        </w:rPr>
        <w:t>；</w:t>
      </w:r>
    </w:p>
    <w:p>
      <w:pPr>
        <w:numPr>
          <w:ilvl w:val="0"/>
          <w:numId w:val="3"/>
        </w:numPr>
        <w:spacing w:line="440" w:lineRule="exact"/>
        <w:rPr>
          <w:rFonts w:ascii="宋体" w:hAnsi="宋体" w:cs="宋体"/>
          <w:sz w:val="24"/>
          <w:szCs w:val="24"/>
        </w:rPr>
      </w:pPr>
      <w:r>
        <w:rPr>
          <w:rFonts w:hint="eastAsia" w:ascii="宋体" w:hAnsi="宋体" w:cs="宋体"/>
          <w:sz w:val="24"/>
          <w:szCs w:val="24"/>
        </w:rPr>
        <w:t>良好的心理素质和克服困难的能力及坚韧不拔的毅力</w:t>
      </w:r>
      <w:r>
        <w:rPr>
          <w:rFonts w:hint="eastAsia" w:ascii="宋体" w:hAnsi="宋体" w:cs="宋体"/>
          <w:sz w:val="24"/>
          <w:szCs w:val="24"/>
          <w:lang w:eastAsia="zh-CN"/>
        </w:rPr>
        <w:t>；</w:t>
      </w:r>
    </w:p>
    <w:p>
      <w:pPr>
        <w:numPr>
          <w:ilvl w:val="0"/>
          <w:numId w:val="3"/>
        </w:numPr>
        <w:spacing w:line="440" w:lineRule="exact"/>
        <w:rPr>
          <w:rFonts w:ascii="宋体" w:hAnsi="宋体" w:cs="宋体"/>
          <w:sz w:val="24"/>
          <w:szCs w:val="24"/>
        </w:rPr>
      </w:pPr>
      <w:r>
        <w:rPr>
          <w:rFonts w:hint="eastAsia" w:ascii="宋体" w:hAnsi="宋体" w:cs="宋体"/>
          <w:sz w:val="24"/>
          <w:szCs w:val="24"/>
        </w:rPr>
        <w:t>较强的口头与书面表达能力、人际沟通能力</w:t>
      </w:r>
      <w:r>
        <w:rPr>
          <w:rFonts w:hint="eastAsia" w:ascii="宋体" w:hAnsi="宋体" w:cs="宋体"/>
          <w:sz w:val="24"/>
          <w:szCs w:val="24"/>
          <w:lang w:eastAsia="zh-CN"/>
        </w:rPr>
        <w:t>；</w:t>
      </w:r>
    </w:p>
    <w:p>
      <w:pPr>
        <w:numPr>
          <w:ilvl w:val="0"/>
          <w:numId w:val="3"/>
        </w:numPr>
        <w:spacing w:line="440" w:lineRule="exact"/>
        <w:rPr>
          <w:rFonts w:ascii="宋体" w:hAnsi="宋体" w:cs="宋体"/>
          <w:sz w:val="24"/>
          <w:szCs w:val="24"/>
        </w:rPr>
      </w:pPr>
      <w:r>
        <w:rPr>
          <w:rFonts w:hint="eastAsia" w:ascii="宋体" w:hAnsi="宋体" w:cs="宋体"/>
          <w:sz w:val="24"/>
          <w:szCs w:val="24"/>
        </w:rPr>
        <w:t>熟练使用计算机获取信息，交流沟通能力</w:t>
      </w:r>
      <w:r>
        <w:rPr>
          <w:rFonts w:hint="eastAsia" w:ascii="宋体" w:hAnsi="宋体" w:cs="宋体"/>
          <w:sz w:val="24"/>
          <w:szCs w:val="24"/>
          <w:lang w:eastAsia="zh-CN"/>
        </w:rPr>
        <w:t>；</w:t>
      </w:r>
    </w:p>
    <w:p>
      <w:pPr>
        <w:numPr>
          <w:ilvl w:val="0"/>
          <w:numId w:val="3"/>
        </w:numPr>
        <w:spacing w:line="440" w:lineRule="exact"/>
        <w:rPr>
          <w:rFonts w:ascii="宋体" w:hAnsi="宋体" w:cs="宋体"/>
          <w:sz w:val="24"/>
          <w:szCs w:val="24"/>
        </w:rPr>
      </w:pPr>
      <w:r>
        <w:rPr>
          <w:rFonts w:hint="eastAsia" w:ascii="宋体" w:hAnsi="宋体" w:cs="宋体"/>
          <w:sz w:val="24"/>
          <w:szCs w:val="24"/>
        </w:rPr>
        <w:t>具有初步的外语交流能力，可借助字典阅读外文资料</w:t>
      </w:r>
      <w:r>
        <w:rPr>
          <w:rFonts w:hint="eastAsia" w:ascii="宋体" w:hAnsi="宋体" w:cs="宋体"/>
          <w:sz w:val="24"/>
          <w:szCs w:val="24"/>
          <w:lang w:eastAsia="zh-CN"/>
        </w:rPr>
        <w:t>。</w:t>
      </w:r>
    </w:p>
    <w:p>
      <w:pPr>
        <w:spacing w:line="360" w:lineRule="auto"/>
        <w:ind w:firstLine="482" w:firstLineChars="200"/>
        <w:outlineLvl w:val="0"/>
        <w:rPr>
          <w:rStyle w:val="21"/>
          <w:rFonts w:ascii="黑体" w:hAnsi="黑体" w:eastAsia="黑体" w:cs="黑体"/>
          <w:lang w:eastAsia="zh-CN"/>
        </w:rPr>
      </w:pPr>
      <w:r>
        <w:rPr>
          <w:rStyle w:val="21"/>
          <w:rFonts w:hint="eastAsia" w:ascii="黑体" w:hAnsi="黑体" w:eastAsia="黑体" w:cs="黑体"/>
          <w:lang w:eastAsia="zh-CN"/>
        </w:rPr>
        <w:t>六、课程设置</w:t>
      </w:r>
      <w:bookmarkEnd w:id="9"/>
    </w:p>
    <w:p>
      <w:pPr>
        <w:spacing w:line="360" w:lineRule="auto"/>
        <w:ind w:firstLine="480" w:firstLineChars="200"/>
        <w:rPr>
          <w:sz w:val="24"/>
          <w:szCs w:val="24"/>
          <w:lang w:eastAsia="zh-CN"/>
        </w:rPr>
      </w:pPr>
      <w:bookmarkStart w:id="10" w:name="_Toc450375346"/>
      <w:bookmarkStart w:id="11" w:name="_Toc450383323"/>
      <w:bookmarkStart w:id="12" w:name="_Toc453246780"/>
      <w:bookmarkStart w:id="13" w:name="_Toc450384359"/>
      <w:bookmarkStart w:id="14" w:name="_Toc450373510"/>
      <w:r>
        <w:rPr>
          <w:rFonts w:hint="eastAsia"/>
          <w:sz w:val="24"/>
          <w:szCs w:val="24"/>
          <w:lang w:eastAsia="zh-CN"/>
        </w:rPr>
        <w:t>职业院校课程主要包括公共基础课程和专业课程。</w:t>
      </w:r>
    </w:p>
    <w:p>
      <w:pPr>
        <w:spacing w:line="360" w:lineRule="auto"/>
        <w:ind w:firstLine="480" w:firstLineChars="20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adjustRightInd w:val="0"/>
        <w:spacing w:line="360" w:lineRule="auto"/>
        <w:ind w:firstLine="482" w:firstLineChars="200"/>
        <w:outlineLvl w:val="1"/>
        <w:rPr>
          <w:b/>
          <w:sz w:val="24"/>
          <w:szCs w:val="24"/>
          <w:lang w:eastAsia="zh-CN"/>
        </w:rPr>
      </w:pPr>
      <w:bookmarkStart w:id="15" w:name="_Toc7078"/>
      <w:r>
        <w:rPr>
          <w:rFonts w:hint="eastAsia"/>
          <w:b/>
          <w:sz w:val="24"/>
          <w:szCs w:val="24"/>
          <w:lang w:eastAsia="zh-CN"/>
        </w:rPr>
        <w:t>（一）公共基础课程</w:t>
      </w:r>
      <w:bookmarkEnd w:id="15"/>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其中公共基础课包括选修课程和必修课程。必修课程包括：《军事课》、《大学语文》、《计算机应用基础》、《大学体育》、《毛泽东思想和中国特色社会主义理论体系概论》、《思想道德修养与法律基础》、《形式与政策》、《心理健康》、《应用文写作》、《职业规划》、《劳动教育》、《人工智能》。选修课程包括：《高等数学》、《美育》、《美术》、《中国共产党党史》、《沟通技巧》、《大学英语》、《书法鉴赏》、《中华优秀传统文化》、《新中国史》《音乐》、《舞蹈》、《改革开放史》、《书法》、《社会主义发展史》、《科技简史》、《安全教育》、《幸福心理学》、《公共关系礼仪实务》、《辩论修养》、《职场心理》、《商业计划书的优化》、《中医健康理念》、《教师口语艺术》、《组织行为学》、《创新思维》、《化妆品赏析与应用》、《情商与智慧人生》、《现代自然地理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1"/>
        <w:rPr>
          <w:b/>
          <w:sz w:val="24"/>
          <w:szCs w:val="24"/>
          <w:lang w:eastAsia="zh-CN"/>
        </w:rPr>
      </w:pPr>
      <w:bookmarkStart w:id="16" w:name="_Toc15377"/>
      <w:r>
        <w:rPr>
          <w:rFonts w:hint="eastAsia"/>
          <w:b/>
          <w:sz w:val="24"/>
          <w:szCs w:val="24"/>
          <w:lang w:eastAsia="zh-CN"/>
        </w:rPr>
        <w:t>（二）专业基础课程</w:t>
      </w:r>
      <w:bookmarkEnd w:id="16"/>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sz w:val="24"/>
          <w:szCs w:val="24"/>
          <w:lang w:val="en-US" w:eastAsia="zh-CN"/>
        </w:rPr>
      </w:pPr>
      <w:r>
        <w:rPr>
          <w:rFonts w:hint="eastAsia"/>
          <w:sz w:val="24"/>
          <w:szCs w:val="24"/>
          <w:lang w:eastAsia="zh-CN"/>
        </w:rPr>
        <w:t>专业课程设置与培养目标相适应，课程内容紧密联系生产劳动实际和社会实践，突出应用性和实践性，注重学生职业能力和职业精神的培养。按照相应职业岗位（群）的能力要求，确定</w:t>
      </w:r>
      <w:r>
        <w:rPr>
          <w:rFonts w:hint="eastAsia"/>
          <w:sz w:val="24"/>
          <w:szCs w:val="24"/>
          <w:lang w:val="en-US" w:eastAsia="zh-CN"/>
        </w:rPr>
        <w:t>17</w:t>
      </w:r>
      <w:r>
        <w:rPr>
          <w:rFonts w:hint="eastAsia"/>
          <w:sz w:val="24"/>
          <w:szCs w:val="24"/>
          <w:lang w:eastAsia="zh-CN"/>
        </w:rPr>
        <w:t>门专业</w:t>
      </w:r>
      <w:r>
        <w:rPr>
          <w:rFonts w:hint="eastAsia"/>
          <w:sz w:val="24"/>
          <w:szCs w:val="24"/>
          <w:lang w:val="en-US" w:eastAsia="zh-CN"/>
        </w:rPr>
        <w:t>基础</w:t>
      </w:r>
      <w:r>
        <w:rPr>
          <w:rFonts w:hint="eastAsia"/>
          <w:sz w:val="24"/>
          <w:szCs w:val="24"/>
          <w:lang w:eastAsia="zh-CN"/>
        </w:rPr>
        <w:t>课程。</w:t>
      </w:r>
      <w:r>
        <w:rPr>
          <w:rFonts w:hint="eastAsia"/>
          <w:sz w:val="24"/>
          <w:szCs w:val="24"/>
          <w:lang w:val="en-US" w:eastAsia="zh-CN"/>
        </w:rPr>
        <w:t>其中，必修课11门，线下选修课2门，线上选修课4门。</w:t>
      </w:r>
      <w:r>
        <w:rPr>
          <w:rFonts w:hint="eastAsia"/>
          <w:sz w:val="24"/>
          <w:szCs w:val="24"/>
          <w:lang w:eastAsia="zh-CN"/>
        </w:rPr>
        <w:t>专业</w:t>
      </w:r>
      <w:r>
        <w:rPr>
          <w:rFonts w:hint="eastAsia"/>
          <w:sz w:val="24"/>
          <w:szCs w:val="24"/>
          <w:lang w:val="en-US" w:eastAsia="zh-CN"/>
        </w:rPr>
        <w:t>基础</w:t>
      </w:r>
      <w:r>
        <w:rPr>
          <w:rFonts w:hint="eastAsia"/>
          <w:sz w:val="24"/>
          <w:szCs w:val="24"/>
          <w:lang w:eastAsia="zh-CN"/>
        </w:rPr>
        <w:t>课程设置注重引导和理实一体化教学。专业基础</w:t>
      </w:r>
      <w:r>
        <w:rPr>
          <w:rFonts w:hint="eastAsia"/>
          <w:sz w:val="24"/>
          <w:szCs w:val="24"/>
          <w:lang w:val="en-US" w:eastAsia="zh-CN"/>
        </w:rPr>
        <w:t>必修</w:t>
      </w:r>
      <w:r>
        <w:rPr>
          <w:rFonts w:hint="eastAsia"/>
          <w:sz w:val="24"/>
          <w:szCs w:val="24"/>
          <w:lang w:eastAsia="zh-CN"/>
        </w:rPr>
        <w:t>课包括《</w:t>
      </w:r>
      <w:r>
        <w:rPr>
          <w:rFonts w:hint="eastAsia"/>
          <w:sz w:val="24"/>
          <w:szCs w:val="24"/>
          <w:lang w:val="en-US" w:eastAsia="zh-CN"/>
        </w:rPr>
        <w:t>经济学基础</w:t>
      </w:r>
      <w:r>
        <w:rPr>
          <w:rFonts w:hint="eastAsia"/>
          <w:sz w:val="24"/>
          <w:szCs w:val="24"/>
          <w:lang w:eastAsia="zh-CN"/>
        </w:rPr>
        <w:t>》、《</w:t>
      </w:r>
      <w:r>
        <w:rPr>
          <w:rFonts w:hint="eastAsia"/>
          <w:sz w:val="24"/>
          <w:szCs w:val="24"/>
          <w:lang w:val="en-US" w:eastAsia="zh-CN"/>
        </w:rPr>
        <w:t>商务礼仪</w:t>
      </w:r>
      <w:r>
        <w:rPr>
          <w:rFonts w:hint="eastAsia"/>
          <w:sz w:val="24"/>
          <w:szCs w:val="24"/>
          <w:lang w:eastAsia="zh-CN"/>
        </w:rPr>
        <w:t>》、《</w:t>
      </w:r>
      <w:r>
        <w:rPr>
          <w:rFonts w:hint="eastAsia"/>
          <w:sz w:val="24"/>
          <w:szCs w:val="24"/>
          <w:lang w:val="en-US" w:eastAsia="zh-CN"/>
        </w:rPr>
        <w:t>普通话</w:t>
      </w:r>
      <w:r>
        <w:rPr>
          <w:rFonts w:hint="eastAsia"/>
          <w:sz w:val="24"/>
          <w:szCs w:val="24"/>
          <w:lang w:eastAsia="zh-CN"/>
        </w:rPr>
        <w:t>》、《</w:t>
      </w:r>
      <w:r>
        <w:rPr>
          <w:rFonts w:hint="eastAsia"/>
          <w:sz w:val="24"/>
          <w:szCs w:val="24"/>
          <w:lang w:val="en-US" w:eastAsia="zh-CN"/>
        </w:rPr>
        <w:t>物流设施与设备</w:t>
      </w:r>
      <w:r>
        <w:rPr>
          <w:rFonts w:hint="eastAsia"/>
          <w:sz w:val="24"/>
          <w:szCs w:val="24"/>
          <w:lang w:eastAsia="zh-CN"/>
        </w:rPr>
        <w:t>》、《</w:t>
      </w:r>
      <w:r>
        <w:rPr>
          <w:rFonts w:hint="eastAsia"/>
          <w:sz w:val="24"/>
          <w:szCs w:val="24"/>
          <w:lang w:val="en-US" w:eastAsia="zh-CN"/>
        </w:rPr>
        <w:t>物流基础</w:t>
      </w:r>
      <w:r>
        <w:rPr>
          <w:rFonts w:hint="eastAsia"/>
          <w:sz w:val="24"/>
          <w:szCs w:val="24"/>
          <w:lang w:eastAsia="zh-CN"/>
        </w:rPr>
        <w:t>》、《</w:t>
      </w:r>
      <w:r>
        <w:rPr>
          <w:rFonts w:hint="eastAsia"/>
          <w:sz w:val="24"/>
          <w:szCs w:val="24"/>
          <w:lang w:val="en-US" w:eastAsia="zh-CN"/>
        </w:rPr>
        <w:t>叉车实务</w:t>
      </w:r>
      <w:r>
        <w:rPr>
          <w:rFonts w:hint="eastAsia"/>
          <w:sz w:val="24"/>
          <w:szCs w:val="24"/>
          <w:lang w:eastAsia="zh-CN"/>
        </w:rPr>
        <w:t>》、《</w:t>
      </w:r>
      <w:r>
        <w:rPr>
          <w:rFonts w:hint="eastAsia"/>
          <w:sz w:val="24"/>
          <w:szCs w:val="24"/>
          <w:lang w:val="en-US" w:eastAsia="zh-CN"/>
        </w:rPr>
        <w:t>国际贸易理论与实务</w:t>
      </w:r>
      <w:r>
        <w:rPr>
          <w:rFonts w:hint="eastAsia"/>
          <w:sz w:val="24"/>
          <w:szCs w:val="24"/>
          <w:lang w:eastAsia="zh-CN"/>
        </w:rPr>
        <w:t>》、《</w:t>
      </w:r>
      <w:r>
        <w:rPr>
          <w:rFonts w:hint="eastAsia"/>
          <w:sz w:val="24"/>
          <w:szCs w:val="24"/>
          <w:lang w:val="en-US" w:eastAsia="zh-CN"/>
        </w:rPr>
        <w:t>电子商务概论</w:t>
      </w:r>
      <w:r>
        <w:rPr>
          <w:rFonts w:hint="eastAsia"/>
          <w:sz w:val="24"/>
          <w:szCs w:val="24"/>
          <w:lang w:eastAsia="zh-CN"/>
        </w:rPr>
        <w:t>》、《</w:t>
      </w:r>
      <w:r>
        <w:rPr>
          <w:rFonts w:hint="eastAsia"/>
          <w:sz w:val="24"/>
          <w:szCs w:val="24"/>
          <w:lang w:val="en-US" w:eastAsia="zh-CN"/>
        </w:rPr>
        <w:t>管理学基础</w:t>
      </w:r>
      <w:r>
        <w:rPr>
          <w:rFonts w:hint="eastAsia"/>
          <w:sz w:val="24"/>
          <w:szCs w:val="24"/>
          <w:lang w:eastAsia="zh-CN"/>
        </w:rPr>
        <w:t>》、《</w:t>
      </w:r>
      <w:r>
        <w:rPr>
          <w:rFonts w:hint="eastAsia"/>
          <w:sz w:val="24"/>
          <w:szCs w:val="24"/>
          <w:lang w:val="en-US" w:eastAsia="zh-CN"/>
        </w:rPr>
        <w:t>商品学</w:t>
      </w:r>
      <w:r>
        <w:rPr>
          <w:rFonts w:hint="eastAsia"/>
          <w:sz w:val="24"/>
          <w:szCs w:val="24"/>
          <w:lang w:eastAsia="zh-CN"/>
        </w:rPr>
        <w:t>》、《</w:t>
      </w:r>
      <w:r>
        <w:rPr>
          <w:rFonts w:hint="eastAsia"/>
          <w:sz w:val="24"/>
          <w:szCs w:val="24"/>
          <w:lang w:val="en-US" w:eastAsia="zh-CN"/>
        </w:rPr>
        <w:t>统计学</w:t>
      </w:r>
      <w:r>
        <w:rPr>
          <w:rFonts w:hint="eastAsia"/>
          <w:sz w:val="24"/>
          <w:szCs w:val="24"/>
          <w:lang w:eastAsia="zh-CN"/>
        </w:rPr>
        <w:t>》，</w:t>
      </w:r>
      <w:r>
        <w:rPr>
          <w:rFonts w:hint="eastAsia"/>
          <w:sz w:val="24"/>
          <w:szCs w:val="24"/>
          <w:lang w:val="en-US" w:eastAsia="zh-CN"/>
        </w:rPr>
        <w:t>共11门课程；线下选修课包括《快递实务》、《基础会计》共2门；线上选修课包括《网络营销》、《EXCLE物流应用教程》、《物流专业英语》、《短视频制作与剪辑》共4门。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1"/>
        <w:rPr>
          <w:b/>
          <w:sz w:val="24"/>
          <w:szCs w:val="24"/>
          <w:lang w:eastAsia="zh-CN"/>
        </w:rPr>
      </w:pPr>
      <w:bookmarkStart w:id="17" w:name="_Toc16432"/>
      <w:r>
        <w:rPr>
          <w:rFonts w:hint="eastAsia"/>
          <w:b/>
          <w:sz w:val="24"/>
          <w:szCs w:val="24"/>
          <w:lang w:eastAsia="zh-CN"/>
        </w:rPr>
        <w:t>（三）</w:t>
      </w:r>
      <w:r>
        <w:rPr>
          <w:b/>
          <w:sz w:val="24"/>
          <w:szCs w:val="24"/>
          <w:lang w:eastAsia="zh-CN"/>
        </w:rPr>
        <w:t>专业核心课程</w:t>
      </w:r>
      <w:bookmarkEnd w:id="17"/>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sz w:val="24"/>
          <w:szCs w:val="24"/>
          <w:lang w:val="en-US" w:eastAsia="zh-CN"/>
        </w:rPr>
      </w:pPr>
      <w:r>
        <w:rPr>
          <w:rFonts w:hint="eastAsia"/>
          <w:sz w:val="24"/>
          <w:szCs w:val="24"/>
          <w:lang w:eastAsia="zh-CN"/>
        </w:rPr>
        <w:t>专业核心课程</w:t>
      </w:r>
      <w:r>
        <w:rPr>
          <w:rFonts w:hint="eastAsia"/>
          <w:sz w:val="24"/>
          <w:szCs w:val="24"/>
          <w:lang w:val="en-US" w:eastAsia="zh-CN"/>
        </w:rPr>
        <w:t>共17门，其中，必修课11门，线下选修课2门，线上选修课4门。专业核心必修课</w:t>
      </w:r>
      <w:r>
        <w:rPr>
          <w:rFonts w:hint="eastAsia"/>
          <w:sz w:val="24"/>
          <w:szCs w:val="24"/>
          <w:lang w:eastAsia="zh-CN"/>
        </w:rPr>
        <w:t>包括《</w:t>
      </w:r>
      <w:r>
        <w:rPr>
          <w:rFonts w:hint="eastAsia"/>
          <w:sz w:val="24"/>
          <w:szCs w:val="24"/>
          <w:lang w:val="en-US" w:eastAsia="zh-CN"/>
        </w:rPr>
        <w:t>配送管理</w:t>
      </w:r>
      <w:r>
        <w:rPr>
          <w:rFonts w:hint="eastAsia"/>
          <w:sz w:val="24"/>
          <w:szCs w:val="24"/>
          <w:lang w:eastAsia="zh-CN"/>
        </w:rPr>
        <w:t>》、《</w:t>
      </w:r>
      <w:r>
        <w:rPr>
          <w:rFonts w:hint="eastAsia"/>
          <w:sz w:val="24"/>
          <w:szCs w:val="24"/>
          <w:lang w:val="en-US" w:eastAsia="zh-CN"/>
        </w:rPr>
        <w:t>生产物流管理</w:t>
      </w:r>
      <w:r>
        <w:rPr>
          <w:rFonts w:hint="eastAsia"/>
          <w:sz w:val="24"/>
          <w:szCs w:val="24"/>
          <w:lang w:eastAsia="zh-CN"/>
        </w:rPr>
        <w:t>》、《</w:t>
      </w:r>
      <w:r>
        <w:rPr>
          <w:rFonts w:hint="eastAsia"/>
          <w:sz w:val="24"/>
          <w:szCs w:val="24"/>
          <w:lang w:val="en-US" w:eastAsia="zh-CN"/>
        </w:rPr>
        <w:t>采购管理</w:t>
      </w:r>
      <w:r>
        <w:rPr>
          <w:rFonts w:hint="eastAsia"/>
          <w:sz w:val="24"/>
          <w:szCs w:val="24"/>
          <w:lang w:eastAsia="zh-CN"/>
        </w:rPr>
        <w:t>》、《</w:t>
      </w:r>
      <w:r>
        <w:rPr>
          <w:rFonts w:hint="eastAsia"/>
          <w:sz w:val="24"/>
          <w:szCs w:val="24"/>
          <w:lang w:val="en-US" w:eastAsia="zh-CN"/>
        </w:rPr>
        <w:t>物流成本管理</w:t>
      </w:r>
      <w:r>
        <w:rPr>
          <w:rFonts w:hint="eastAsia"/>
          <w:sz w:val="24"/>
          <w:szCs w:val="24"/>
          <w:lang w:eastAsia="zh-CN"/>
        </w:rPr>
        <w:t>》、《</w:t>
      </w:r>
      <w:r>
        <w:rPr>
          <w:rFonts w:hint="eastAsia"/>
          <w:sz w:val="24"/>
          <w:szCs w:val="24"/>
          <w:lang w:val="en-US" w:eastAsia="zh-CN"/>
        </w:rPr>
        <w:t>仓储管理</w:t>
      </w:r>
      <w:r>
        <w:rPr>
          <w:rFonts w:hint="eastAsia"/>
          <w:sz w:val="24"/>
          <w:szCs w:val="24"/>
          <w:lang w:eastAsia="zh-CN"/>
        </w:rPr>
        <w:t>》、《</w:t>
      </w:r>
      <w:r>
        <w:rPr>
          <w:rFonts w:hint="eastAsia"/>
          <w:sz w:val="24"/>
          <w:szCs w:val="24"/>
          <w:lang w:val="en-US" w:eastAsia="zh-CN"/>
        </w:rPr>
        <w:t>运输管理</w:t>
      </w:r>
      <w:r>
        <w:rPr>
          <w:rFonts w:hint="eastAsia"/>
          <w:sz w:val="24"/>
          <w:szCs w:val="24"/>
          <w:lang w:eastAsia="zh-CN"/>
        </w:rPr>
        <w:t>》、《</w:t>
      </w:r>
      <w:r>
        <w:rPr>
          <w:rFonts w:hint="eastAsia"/>
          <w:sz w:val="24"/>
          <w:szCs w:val="24"/>
          <w:lang w:val="en-US" w:eastAsia="zh-CN"/>
        </w:rPr>
        <w:t>供应链管理</w:t>
      </w:r>
      <w:r>
        <w:rPr>
          <w:rFonts w:hint="eastAsia"/>
          <w:sz w:val="24"/>
          <w:szCs w:val="24"/>
          <w:lang w:eastAsia="zh-CN"/>
        </w:rPr>
        <w:t>》、《</w:t>
      </w:r>
      <w:r>
        <w:rPr>
          <w:rFonts w:hint="eastAsia"/>
          <w:sz w:val="24"/>
          <w:szCs w:val="24"/>
          <w:lang w:val="en-US" w:eastAsia="zh-CN"/>
        </w:rPr>
        <w:t>客户关系管理</w:t>
      </w:r>
      <w:r>
        <w:rPr>
          <w:rFonts w:hint="eastAsia"/>
          <w:sz w:val="24"/>
          <w:szCs w:val="24"/>
          <w:lang w:eastAsia="zh-CN"/>
        </w:rPr>
        <w:t>》、《</w:t>
      </w:r>
      <w:r>
        <w:rPr>
          <w:rFonts w:hint="eastAsia"/>
          <w:sz w:val="24"/>
          <w:szCs w:val="24"/>
          <w:lang w:val="en-US" w:eastAsia="zh-CN"/>
        </w:rPr>
        <w:t>物流服务营销</w:t>
      </w:r>
      <w:r>
        <w:rPr>
          <w:rFonts w:hint="eastAsia"/>
          <w:sz w:val="24"/>
          <w:szCs w:val="24"/>
          <w:lang w:eastAsia="zh-CN"/>
        </w:rPr>
        <w:t>》、《</w:t>
      </w:r>
      <w:r>
        <w:rPr>
          <w:rFonts w:hint="eastAsia"/>
          <w:sz w:val="24"/>
          <w:szCs w:val="24"/>
          <w:lang w:val="en-US" w:eastAsia="zh-CN"/>
        </w:rPr>
        <w:t>物流信息系统</w:t>
      </w:r>
      <w:r>
        <w:rPr>
          <w:rFonts w:hint="eastAsia"/>
          <w:sz w:val="24"/>
          <w:szCs w:val="24"/>
          <w:lang w:eastAsia="zh-CN"/>
        </w:rPr>
        <w:t>》、《</w:t>
      </w:r>
      <w:r>
        <w:rPr>
          <w:rFonts w:hint="eastAsia"/>
          <w:sz w:val="24"/>
          <w:szCs w:val="24"/>
          <w:lang w:val="en-US" w:eastAsia="zh-CN"/>
        </w:rPr>
        <w:t>物流经济地理</w:t>
      </w:r>
      <w:r>
        <w:rPr>
          <w:rFonts w:hint="eastAsia"/>
          <w:sz w:val="24"/>
          <w:szCs w:val="24"/>
          <w:lang w:eastAsia="zh-CN"/>
        </w:rPr>
        <w:t>》，</w:t>
      </w:r>
      <w:r>
        <w:rPr>
          <w:rFonts w:hint="eastAsia"/>
          <w:sz w:val="24"/>
          <w:szCs w:val="24"/>
          <w:lang w:val="en-US" w:eastAsia="zh-CN"/>
        </w:rPr>
        <w:t>共11</w:t>
      </w:r>
      <w:r>
        <w:rPr>
          <w:rFonts w:hint="eastAsia"/>
          <w:sz w:val="24"/>
          <w:szCs w:val="24"/>
          <w:lang w:eastAsia="zh-CN"/>
        </w:rPr>
        <w:t>门课程；</w:t>
      </w:r>
      <w:r>
        <w:rPr>
          <w:rFonts w:hint="eastAsia"/>
          <w:sz w:val="24"/>
          <w:szCs w:val="24"/>
          <w:lang w:val="en-US" w:eastAsia="zh-CN"/>
        </w:rPr>
        <w:t>线下选修课《物流法律法规》、《国际货运代理实务》共2门；线上选修课包括《网店运营推广》、《第三方物流管理》、《物流中心设计与运作》、《图形图像处理》共4门。</w:t>
      </w:r>
    </w:p>
    <w:tbl>
      <w:tblPr>
        <w:tblStyle w:val="14"/>
        <w:tblW w:w="8038" w:type="dxa"/>
        <w:jc w:val="center"/>
        <w:tblLayout w:type="autofit"/>
        <w:tblCellMar>
          <w:top w:w="0" w:type="dxa"/>
          <w:left w:w="108" w:type="dxa"/>
          <w:bottom w:w="0" w:type="dxa"/>
          <w:right w:w="108" w:type="dxa"/>
        </w:tblCellMar>
      </w:tblPr>
      <w:tblGrid>
        <w:gridCol w:w="697"/>
        <w:gridCol w:w="2292"/>
        <w:gridCol w:w="5049"/>
      </w:tblGrid>
      <w:tr>
        <w:tblPrEx>
          <w:tblCellMar>
            <w:top w:w="0" w:type="dxa"/>
            <w:left w:w="108" w:type="dxa"/>
            <w:bottom w:w="0" w:type="dxa"/>
            <w:right w:w="108" w:type="dxa"/>
          </w:tblCellMar>
        </w:tblPrEx>
        <w:trPr>
          <w:trHeight w:val="41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序号</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专业核心课</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主要教学内容</w:t>
            </w:r>
          </w:p>
        </w:tc>
      </w:tr>
      <w:tr>
        <w:tblPrEx>
          <w:tblCellMar>
            <w:top w:w="0" w:type="dxa"/>
            <w:left w:w="108" w:type="dxa"/>
            <w:bottom w:w="0" w:type="dxa"/>
            <w:right w:w="108" w:type="dxa"/>
          </w:tblCellMar>
        </w:tblPrEx>
        <w:trPr>
          <w:trHeight w:val="132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sz w:val="24"/>
                <w:szCs w:val="24"/>
                <w:lang w:val="en-US" w:eastAsia="zh-CN"/>
              </w:rPr>
              <w:t>《配送管理》</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1.拣货作业管理；</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2.送货作业管理；</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3.补货及退货作业管理；</w:t>
            </w:r>
          </w:p>
          <w:p>
            <w:pPr>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4.配送作业绩效评价。</w:t>
            </w:r>
          </w:p>
        </w:tc>
      </w:tr>
      <w:tr>
        <w:tblPrEx>
          <w:tblCellMar>
            <w:top w:w="0" w:type="dxa"/>
            <w:left w:w="108" w:type="dxa"/>
            <w:bottom w:w="0" w:type="dxa"/>
            <w:right w:w="108" w:type="dxa"/>
          </w:tblCellMar>
        </w:tblPrEx>
        <w:trPr>
          <w:trHeight w:val="2194"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sz w:val="24"/>
                <w:szCs w:val="24"/>
                <w:lang w:eastAsia="zh-CN"/>
              </w:rPr>
              <w:t>《</w:t>
            </w:r>
            <w:r>
              <w:rPr>
                <w:rFonts w:hint="eastAsia"/>
                <w:sz w:val="24"/>
                <w:szCs w:val="24"/>
                <w:lang w:val="en-US" w:eastAsia="zh-CN"/>
              </w:rPr>
              <w:t>生产物流管理</w:t>
            </w:r>
            <w:r>
              <w:rPr>
                <w:rFonts w:hint="eastAsia"/>
                <w:sz w:val="24"/>
                <w:szCs w:val="24"/>
                <w:lang w:eastAsia="zh-CN"/>
              </w:rPr>
              <w:t>》</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1.生产与运作战略；</w:t>
            </w:r>
          </w:p>
          <w:p>
            <w:pPr>
              <w:numPr>
                <w:ilvl w:val="0"/>
                <w:numId w:val="0"/>
              </w:num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2.运营系统设计；</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3.生产计划、制造资源计划的制定；</w:t>
            </w:r>
          </w:p>
          <w:p>
            <w:pPr>
              <w:numPr>
                <w:ilvl w:val="0"/>
                <w:numId w:val="0"/>
              </w:numPr>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4.作业计划与排序、生产控制、库存管理与控制方法。</w:t>
            </w:r>
          </w:p>
        </w:tc>
      </w:tr>
      <w:tr>
        <w:tblPrEx>
          <w:tblCellMar>
            <w:top w:w="0" w:type="dxa"/>
            <w:left w:w="108" w:type="dxa"/>
            <w:bottom w:w="0" w:type="dxa"/>
            <w:right w:w="108" w:type="dxa"/>
          </w:tblCellMar>
        </w:tblPrEx>
        <w:trPr>
          <w:trHeight w:val="1699"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sz w:val="24"/>
                <w:szCs w:val="24"/>
                <w:lang w:eastAsia="zh-CN"/>
              </w:rPr>
              <w:t>《</w:t>
            </w:r>
            <w:r>
              <w:rPr>
                <w:rFonts w:hint="eastAsia"/>
                <w:sz w:val="24"/>
                <w:szCs w:val="24"/>
                <w:lang w:val="en-US" w:eastAsia="zh-CN"/>
              </w:rPr>
              <w:t>采购管理</w:t>
            </w:r>
            <w:r>
              <w:rPr>
                <w:rFonts w:hint="eastAsia"/>
                <w:sz w:val="24"/>
                <w:szCs w:val="24"/>
                <w:lang w:eastAsia="zh-CN"/>
              </w:rPr>
              <w:t>》</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1.采购计划、采购价格、采购供应商管理；2.采购招、投标管理；</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3.采购订单与采购合同管理；</w:t>
            </w:r>
          </w:p>
          <w:p>
            <w:pPr>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4.采购控制与采购风险管理。</w:t>
            </w:r>
          </w:p>
        </w:tc>
      </w:tr>
      <w:tr>
        <w:tblPrEx>
          <w:tblCellMar>
            <w:top w:w="0" w:type="dxa"/>
            <w:left w:w="108" w:type="dxa"/>
            <w:bottom w:w="0" w:type="dxa"/>
            <w:right w:w="108" w:type="dxa"/>
          </w:tblCellMar>
        </w:tblPrEx>
        <w:trPr>
          <w:trHeight w:val="175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sz w:val="24"/>
                <w:szCs w:val="24"/>
                <w:lang w:eastAsia="zh-CN"/>
              </w:rPr>
              <w:t>《</w:t>
            </w:r>
            <w:r>
              <w:rPr>
                <w:rFonts w:hint="eastAsia"/>
                <w:sz w:val="24"/>
                <w:szCs w:val="24"/>
                <w:lang w:val="en-US" w:eastAsia="zh-CN"/>
              </w:rPr>
              <w:t>物流成本管理</w:t>
            </w:r>
            <w:r>
              <w:rPr>
                <w:rFonts w:hint="eastAsia"/>
                <w:sz w:val="24"/>
                <w:szCs w:val="24"/>
                <w:lang w:eastAsia="zh-CN"/>
              </w:rPr>
              <w:t>》</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1.物流成本计算的基本方法；</w:t>
            </w:r>
          </w:p>
          <w:p>
            <w:pPr>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2.物流成本控制的基本方法；</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3.运输成本核算；</w:t>
            </w:r>
          </w:p>
          <w:p>
            <w:pPr>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4.配送成本核算。</w:t>
            </w:r>
          </w:p>
        </w:tc>
      </w:tr>
      <w:tr>
        <w:tblPrEx>
          <w:tblCellMar>
            <w:top w:w="0" w:type="dxa"/>
            <w:left w:w="108" w:type="dxa"/>
            <w:bottom w:w="0" w:type="dxa"/>
            <w:right w:w="108" w:type="dxa"/>
          </w:tblCellMar>
        </w:tblPrEx>
        <w:trPr>
          <w:trHeight w:val="178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sz w:val="24"/>
                <w:szCs w:val="24"/>
                <w:lang w:eastAsia="zh-CN"/>
              </w:rPr>
              <w:t>《</w:t>
            </w:r>
            <w:r>
              <w:rPr>
                <w:rFonts w:hint="eastAsia"/>
                <w:sz w:val="24"/>
                <w:szCs w:val="24"/>
                <w:lang w:val="en-US" w:eastAsia="zh-CN"/>
              </w:rPr>
              <w:t>仓储作业管理</w:t>
            </w:r>
            <w:r>
              <w:rPr>
                <w:rFonts w:hint="eastAsia"/>
                <w:sz w:val="24"/>
                <w:szCs w:val="24"/>
                <w:lang w:eastAsia="zh-CN"/>
              </w:rPr>
              <w:t>》</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1.货仓的规划；</w:t>
            </w:r>
          </w:p>
          <w:p>
            <w:pPr>
              <w:numPr>
                <w:ilvl w:val="0"/>
                <w:numId w:val="0"/>
              </w:numPr>
              <w:spacing w:line="360" w:lineRule="auto"/>
              <w:ind w:leftChars="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2.商品的入库、出库和盘点管理；</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3.物流需求预测；</w:t>
            </w:r>
          </w:p>
          <w:p>
            <w:pPr>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4.库存管理与控制。</w:t>
            </w:r>
          </w:p>
        </w:tc>
      </w:tr>
      <w:tr>
        <w:tblPrEx>
          <w:tblCellMar>
            <w:top w:w="0" w:type="dxa"/>
            <w:left w:w="108" w:type="dxa"/>
            <w:bottom w:w="0" w:type="dxa"/>
            <w:right w:w="108" w:type="dxa"/>
          </w:tblCellMar>
        </w:tblPrEx>
        <w:trPr>
          <w:trHeight w:val="16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sz w:val="24"/>
                <w:szCs w:val="24"/>
                <w:lang w:eastAsia="zh-CN"/>
              </w:rPr>
              <w:t>《</w:t>
            </w:r>
            <w:r>
              <w:rPr>
                <w:rFonts w:hint="eastAsia"/>
                <w:sz w:val="24"/>
                <w:szCs w:val="24"/>
                <w:lang w:val="en-US" w:eastAsia="zh-CN"/>
              </w:rPr>
              <w:t>运输管理</w:t>
            </w:r>
            <w:r>
              <w:rPr>
                <w:rFonts w:hint="eastAsia"/>
                <w:sz w:val="24"/>
                <w:szCs w:val="24"/>
                <w:lang w:eastAsia="zh-CN"/>
              </w:rPr>
              <w:t>》</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0"/>
              </w:numPr>
              <w:autoSpaceDE w:val="0"/>
              <w:autoSpaceDN w:val="0"/>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1.四大运输方式管理实务；</w:t>
            </w:r>
          </w:p>
          <w:p>
            <w:pPr>
              <w:widowControl w:val="0"/>
              <w:numPr>
                <w:ilvl w:val="0"/>
                <w:numId w:val="0"/>
              </w:numPr>
              <w:autoSpaceDE w:val="0"/>
              <w:autoSpaceDN w:val="0"/>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2.联合运输管理实务；</w:t>
            </w:r>
          </w:p>
          <w:p>
            <w:pPr>
              <w:widowControl w:val="0"/>
              <w:numPr>
                <w:ilvl w:val="0"/>
                <w:numId w:val="0"/>
              </w:numPr>
              <w:autoSpaceDE w:val="0"/>
              <w:autoSpaceDN w:val="0"/>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3.物流运输管理决策；</w:t>
            </w:r>
          </w:p>
          <w:p>
            <w:pPr>
              <w:widowControl w:val="0"/>
              <w:numPr>
                <w:ilvl w:val="0"/>
                <w:numId w:val="0"/>
              </w:numPr>
              <w:autoSpaceDE w:val="0"/>
              <w:autoSpaceDN w:val="0"/>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4.智慧物流与智能运输。</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sz w:val="24"/>
                <w:szCs w:val="24"/>
                <w:lang w:eastAsia="zh-CN"/>
              </w:rPr>
              <w:t>《</w:t>
            </w:r>
            <w:r>
              <w:rPr>
                <w:rFonts w:hint="eastAsia"/>
                <w:sz w:val="24"/>
                <w:szCs w:val="24"/>
                <w:lang w:val="en-US" w:eastAsia="zh-CN"/>
              </w:rPr>
              <w:t>供应链管理</w:t>
            </w:r>
            <w:r>
              <w:rPr>
                <w:rFonts w:hint="eastAsia"/>
                <w:sz w:val="24"/>
                <w:szCs w:val="24"/>
                <w:lang w:eastAsia="zh-CN"/>
              </w:rPr>
              <w:t>》</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1.供应链的构建与优化；</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2.供应链管理环境下的生产计划与控制；</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3.供应链管理环境下的库存控制；</w:t>
            </w:r>
          </w:p>
          <w:p>
            <w:pPr>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4.供应链管理环境下的物流与采购管理。</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sz w:val="24"/>
                <w:szCs w:val="24"/>
                <w:lang w:eastAsia="zh-CN"/>
              </w:rPr>
              <w:t>《</w:t>
            </w:r>
            <w:r>
              <w:rPr>
                <w:rFonts w:hint="eastAsia"/>
                <w:sz w:val="24"/>
                <w:szCs w:val="24"/>
                <w:lang w:val="en-US" w:eastAsia="zh-CN"/>
              </w:rPr>
              <w:t>客户关系管理</w:t>
            </w:r>
            <w:r>
              <w:rPr>
                <w:rFonts w:hint="eastAsia"/>
                <w:sz w:val="24"/>
                <w:szCs w:val="24"/>
                <w:lang w:eastAsia="zh-CN"/>
              </w:rPr>
              <w:t>》</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1.客户关系、客户满意度、客户忠诚、客户生命周期、客户关系管理系统的基本组成和分类；</w:t>
            </w:r>
          </w:p>
          <w:p>
            <w:pPr>
              <w:spacing w:line="360" w:lineRule="auto"/>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2.客户关系管理中的数据仓库和数据挖掘技术；</w:t>
            </w:r>
          </w:p>
          <w:p>
            <w:pPr>
              <w:spacing w:line="360" w:lineRule="auto"/>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3.典型的客户关系管理软件产品的功能模块。</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outlineLvl w:val="1"/>
        <w:rPr>
          <w:rFonts w:hint="eastAsia"/>
          <w:b/>
          <w:sz w:val="24"/>
          <w:szCs w:val="24"/>
          <w:lang w:eastAsia="zh-CN"/>
        </w:rPr>
      </w:pPr>
      <w:bookmarkStart w:id="18" w:name="_Toc2569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outlineLvl w:val="1"/>
        <w:rPr>
          <w:b/>
          <w:sz w:val="24"/>
          <w:szCs w:val="24"/>
          <w:lang w:eastAsia="zh-CN"/>
        </w:rPr>
      </w:pPr>
      <w:r>
        <w:rPr>
          <w:rFonts w:hint="eastAsia"/>
          <w:b/>
          <w:sz w:val="24"/>
          <w:szCs w:val="24"/>
          <w:lang w:eastAsia="zh-CN"/>
        </w:rPr>
        <w:t>（四）实践性教学环节</w:t>
      </w:r>
      <w:bookmarkEnd w:id="1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sz w:val="24"/>
          <w:szCs w:val="24"/>
          <w:lang w:eastAsia="zh-CN"/>
        </w:rPr>
      </w:pPr>
      <w:r>
        <w:rPr>
          <w:rFonts w:hint="eastAsia"/>
          <w:sz w:val="24"/>
          <w:szCs w:val="24"/>
          <w:lang w:eastAsia="zh-CN"/>
        </w:rPr>
        <w:t>实践性教学环节主要包括实习、实训、毕业设计（论文）等。应依据国家发布的有关专业顶岗实习标准，严格执行《职业学校学生实习管理规定》有关要求，组织好认识实习、跟岗实习和顶岗实习。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sz w:val="24"/>
          <w:szCs w:val="24"/>
          <w:lang w:eastAsia="zh-CN"/>
        </w:rPr>
      </w:pPr>
      <w:r>
        <w:rPr>
          <w:rFonts w:hint="eastAsia"/>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outlineLvl w:val="1"/>
        <w:rPr>
          <w:b/>
          <w:sz w:val="24"/>
          <w:szCs w:val="24"/>
          <w:lang w:eastAsia="zh-CN"/>
        </w:rPr>
      </w:pPr>
      <w:bookmarkStart w:id="19" w:name="_Toc26217"/>
      <w:r>
        <w:rPr>
          <w:rFonts w:hint="eastAsia"/>
          <w:b/>
          <w:sz w:val="24"/>
          <w:szCs w:val="24"/>
          <w:lang w:eastAsia="zh-CN"/>
        </w:rPr>
        <w:t>（五）学时安排</w:t>
      </w:r>
      <w:bookmarkEnd w:id="19"/>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三年制高职每学年教学时间40周，总学时数</w:t>
      </w:r>
      <w:r>
        <w:rPr>
          <w:rFonts w:hint="eastAsia"/>
          <w:sz w:val="24"/>
          <w:szCs w:val="24"/>
          <w:lang w:val="en-US" w:eastAsia="zh-CN"/>
        </w:rPr>
        <w:t>2866</w:t>
      </w:r>
      <w:r>
        <w:rPr>
          <w:rFonts w:hint="eastAsia"/>
          <w:sz w:val="24"/>
          <w:szCs w:val="24"/>
          <w:lang w:eastAsia="zh-CN"/>
        </w:rPr>
        <w:t>学时，课内学时一般按每周</w:t>
      </w:r>
      <w:r>
        <w:rPr>
          <w:rFonts w:hint="eastAsia"/>
          <w:sz w:val="24"/>
          <w:szCs w:val="24"/>
          <w:lang w:val="en-US" w:eastAsia="zh-CN"/>
        </w:rPr>
        <w:t>28</w:t>
      </w:r>
      <w:r>
        <w:rPr>
          <w:rFonts w:hint="eastAsia"/>
          <w:sz w:val="24"/>
          <w:szCs w:val="24"/>
          <w:lang w:eastAsia="zh-CN"/>
        </w:rPr>
        <w:t>学时计算。每学时45分钟，学分的最小单位为0.5学分，总学分为</w:t>
      </w:r>
      <w:r>
        <w:rPr>
          <w:rFonts w:hint="eastAsia"/>
          <w:sz w:val="24"/>
          <w:szCs w:val="24"/>
          <w:lang w:val="en-US" w:eastAsia="zh-CN"/>
        </w:rPr>
        <w:t>164</w:t>
      </w:r>
      <w:r>
        <w:rPr>
          <w:rFonts w:hint="eastAsia"/>
          <w:sz w:val="24"/>
          <w:szCs w:val="24"/>
          <w:lang w:eastAsia="zh-CN"/>
        </w:rPr>
        <w:t>学分。其中,16个课时为1学分计。实践、实习实训（设计）、军训、入学和毕业教育等集中进行的教学环节，以1周为1学分计。每一门课程和各种实践性教学环节考核成绩合格方能取得相应学分。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学生顶岗实习为6个月，采取工学交替、多学期、分段式等多种形式组织实施。面向</w:t>
      </w:r>
      <w:r>
        <w:rPr>
          <w:rFonts w:hint="eastAsia"/>
          <w:sz w:val="24"/>
          <w:szCs w:val="24"/>
          <w:lang w:val="en-US" w:eastAsia="zh-CN"/>
        </w:rPr>
        <w:t>运输作业、仓储作业、配送作业、采购作业</w:t>
      </w:r>
      <w:r>
        <w:rPr>
          <w:rFonts w:hint="eastAsia"/>
          <w:sz w:val="24"/>
          <w:szCs w:val="24"/>
          <w:lang w:eastAsia="zh-CN"/>
        </w:rPr>
        <w:t>等岗位（群）或者技术领域。</w:t>
      </w:r>
      <w:r>
        <w:rPr>
          <w:rFonts w:hint="eastAsia"/>
          <w:sz w:val="24"/>
          <w:szCs w:val="24"/>
          <w:lang w:val="en-US" w:eastAsia="zh-CN"/>
        </w:rPr>
        <w:t xml:space="preserve">   </w:t>
      </w:r>
      <w:r>
        <w:rPr>
          <w:rFonts w:hint="eastAsia"/>
          <w:sz w:val="24"/>
          <w:szCs w:val="24"/>
          <w:lang w:eastAsia="zh-CN"/>
        </w:rPr>
        <w:t>学生通过现代物流管理专业顶岗实习，了解企业的运作、组织架构、规章制度和企业文化；掌握岗位的典型工作流程、工作内容及核心技能；养成爱岗敬业、精益求精、诚实守信的职业精神，增加学生的就业能力。</w:t>
      </w:r>
    </w:p>
    <w:bookmarkEnd w:id="10"/>
    <w:bookmarkEnd w:id="11"/>
    <w:bookmarkEnd w:id="12"/>
    <w:bookmarkEnd w:id="13"/>
    <w:bookmarkEnd w:id="14"/>
    <w:p>
      <w:pPr>
        <w:keepNext w:val="0"/>
        <w:keepLines w:val="0"/>
        <w:pageBreakBefore w:val="0"/>
        <w:widowControl w:val="0"/>
        <w:kinsoku/>
        <w:wordWrap/>
        <w:overflowPunct/>
        <w:topLinePunct w:val="0"/>
        <w:autoSpaceDE w:val="0"/>
        <w:autoSpaceDN w:val="0"/>
        <w:bidi w:val="0"/>
        <w:spacing w:line="360" w:lineRule="auto"/>
        <w:ind w:firstLine="482" w:firstLineChars="200"/>
        <w:textAlignment w:val="auto"/>
        <w:outlineLvl w:val="0"/>
        <w:rPr>
          <w:rStyle w:val="21"/>
          <w:rFonts w:ascii="黑体" w:hAnsi="黑体" w:eastAsia="黑体" w:cs="黑体"/>
          <w:lang w:eastAsia="zh-CN"/>
        </w:rPr>
      </w:pPr>
      <w:bookmarkStart w:id="20" w:name="_Toc450375349"/>
      <w:bookmarkStart w:id="21" w:name="_Toc450383326"/>
      <w:bookmarkStart w:id="22" w:name="_Toc450373513"/>
      <w:bookmarkStart w:id="23" w:name="_Toc453246783"/>
      <w:bookmarkStart w:id="24" w:name="_Toc2208"/>
      <w:r>
        <w:rPr>
          <w:rStyle w:val="21"/>
          <w:rFonts w:hint="eastAsia" w:ascii="黑体" w:hAnsi="黑体" w:eastAsia="黑体" w:cs="黑体"/>
          <w:lang w:eastAsia="zh-CN"/>
        </w:rPr>
        <w:t>七、教学进程</w:t>
      </w:r>
      <w:bookmarkEnd w:id="20"/>
      <w:bookmarkEnd w:id="21"/>
      <w:bookmarkEnd w:id="22"/>
      <w:bookmarkEnd w:id="23"/>
      <w:r>
        <w:rPr>
          <w:rStyle w:val="21"/>
          <w:rFonts w:hint="eastAsia" w:ascii="黑体" w:hAnsi="黑体" w:eastAsia="黑体" w:cs="黑体"/>
          <w:lang w:eastAsia="zh-CN"/>
        </w:rPr>
        <w:t>总体安排</w:t>
      </w:r>
      <w:bookmarkEnd w:id="24"/>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outlineLvl w:val="1"/>
        <w:rPr>
          <w:rFonts w:hint="eastAsia"/>
          <w:b/>
          <w:sz w:val="24"/>
          <w:szCs w:val="24"/>
          <w:lang w:eastAsia="zh-CN"/>
        </w:rPr>
      </w:pPr>
      <w:bookmarkStart w:id="25" w:name="_Toc24038"/>
      <w:bookmarkStart w:id="26" w:name="_Toc450372223"/>
      <w:r>
        <w:rPr>
          <w:rFonts w:hint="eastAsia"/>
          <w:b/>
          <w:sz w:val="24"/>
          <w:szCs w:val="24"/>
          <w:lang w:eastAsia="zh-CN"/>
        </w:rPr>
        <w:t>（一）教学进程表</w:t>
      </w:r>
      <w:bookmarkEnd w:id="25"/>
      <w:bookmarkEnd w:id="26"/>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outlineLvl w:val="1"/>
        <w:rPr>
          <w:rFonts w:hint="eastAsia"/>
          <w:b/>
          <w:sz w:val="24"/>
          <w:szCs w:val="24"/>
          <w:lang w:eastAsia="zh-CN"/>
        </w:rPr>
      </w:pPr>
    </w:p>
    <w:tbl>
      <w:tblPr>
        <w:tblStyle w:val="14"/>
        <w:tblW w:w="8610" w:type="dxa"/>
        <w:jc w:val="center"/>
        <w:tblLayout w:type="autofit"/>
        <w:tblCellMar>
          <w:top w:w="0" w:type="dxa"/>
          <w:left w:w="108" w:type="dxa"/>
          <w:bottom w:w="0" w:type="dxa"/>
          <w:right w:w="108" w:type="dxa"/>
        </w:tblCellMar>
      </w:tblPr>
      <w:tblGrid>
        <w:gridCol w:w="1080"/>
        <w:gridCol w:w="795"/>
        <w:gridCol w:w="1335"/>
        <w:gridCol w:w="1080"/>
        <w:gridCol w:w="1080"/>
        <w:gridCol w:w="1080"/>
        <w:gridCol w:w="1080"/>
        <w:gridCol w:w="1080"/>
      </w:tblGrid>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学期</w:t>
            </w:r>
          </w:p>
        </w:tc>
        <w:tc>
          <w:tcPr>
            <w:tcW w:w="79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415"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16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2160" w:type="dxa"/>
            <w:gridSpan w:val="2"/>
            <w:tcBorders>
              <w:top w:val="single" w:color="000000" w:sz="8" w:space="0"/>
              <w:left w:val="single" w:color="000000" w:sz="8" w:space="0"/>
              <w:bottom w:val="nil"/>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第三学年</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7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1335"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single" w:color="000000" w:sz="8" w:space="0"/>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8" w:space="0"/>
              <w:left w:val="single" w:color="000000" w:sz="8" w:space="0"/>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上学期</w:t>
            </w:r>
          </w:p>
        </w:tc>
        <w:tc>
          <w:tcPr>
            <w:tcW w:w="795"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hint="eastAsia"/>
                <w:color w:val="000000"/>
                <w:sz w:val="18"/>
                <w:szCs w:val="18"/>
                <w:lang w:eastAsia="zh-CN" w:bidi="ar"/>
              </w:rPr>
            </w:pPr>
            <w:r>
              <w:rPr>
                <w:rFonts w:hint="eastAsia"/>
                <w:color w:val="000000"/>
                <w:sz w:val="18"/>
                <w:szCs w:val="18"/>
                <w:lang w:eastAsia="zh-CN" w:bidi="ar"/>
              </w:rPr>
              <w:t>入学教育、</w:t>
            </w:r>
          </w:p>
          <w:p>
            <w:pPr>
              <w:widowControl/>
              <w:jc w:val="center"/>
              <w:textAlignment w:val="center"/>
              <w:rPr>
                <w:rFonts w:hint="eastAsia"/>
                <w:color w:val="auto"/>
                <w:sz w:val="18"/>
                <w:szCs w:val="18"/>
                <w:lang w:eastAsia="zh-CN" w:bidi="ar"/>
              </w:rPr>
            </w:pPr>
            <w:r>
              <w:rPr>
                <w:rFonts w:hint="eastAsia"/>
                <w:color w:val="auto"/>
                <w:sz w:val="18"/>
                <w:szCs w:val="18"/>
                <w:lang w:eastAsia="zh-CN" w:bidi="ar"/>
              </w:rPr>
              <w:t>国防教育、</w:t>
            </w:r>
          </w:p>
          <w:p>
            <w:pPr>
              <w:widowControl/>
              <w:jc w:val="center"/>
              <w:textAlignment w:val="center"/>
              <w:rPr>
                <w:color w:val="FF0000"/>
                <w:sz w:val="18"/>
                <w:szCs w:val="18"/>
              </w:rPr>
            </w:pPr>
            <w:r>
              <w:rPr>
                <w:rFonts w:hint="eastAsia"/>
                <w:color w:val="auto"/>
                <w:sz w:val="18"/>
                <w:szCs w:val="18"/>
                <w:lang w:eastAsia="zh-CN" w:bidi="ar"/>
              </w:rPr>
              <w:t>军训</w:t>
            </w:r>
          </w:p>
        </w:tc>
        <w:tc>
          <w:tcPr>
            <w:tcW w:w="1080" w:type="dxa"/>
            <w:vMerge w:val="restart"/>
            <w:tcBorders>
              <w:top w:val="single" w:color="000000" w:sz="8" w:space="0"/>
              <w:left w:val="nil"/>
              <w:right w:val="nil"/>
            </w:tcBorders>
            <w:shd w:val="clear" w:color="auto" w:fill="auto"/>
            <w:vAlign w:val="center"/>
          </w:tcPr>
          <w:p>
            <w:pPr>
              <w:widowControl/>
              <w:jc w:val="center"/>
              <w:textAlignment w:val="center"/>
              <w:rPr>
                <w:rFonts w:hint="eastAsia"/>
                <w:color w:val="auto"/>
                <w:sz w:val="18"/>
                <w:szCs w:val="18"/>
                <w:lang w:eastAsia="zh-CN" w:bidi="ar"/>
              </w:rPr>
            </w:pPr>
            <w:r>
              <w:rPr>
                <w:rFonts w:hint="eastAsia"/>
                <w:color w:val="auto"/>
                <w:sz w:val="18"/>
                <w:szCs w:val="18"/>
                <w:lang w:eastAsia="zh-CN" w:bidi="ar"/>
              </w:rPr>
              <w:t>2 周</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课程教学</w:t>
            </w:r>
          </w:p>
        </w:tc>
        <w:tc>
          <w:tcPr>
            <w:tcW w:w="1080"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color="000000" w:sz="8" w:space="0"/>
              <w:left w:val="single" w:color="000000" w:sz="8" w:space="0"/>
              <w:right w:val="nil"/>
            </w:tcBorders>
            <w:shd w:val="clear" w:color="auto" w:fill="auto"/>
            <w:vAlign w:val="center"/>
          </w:tcPr>
          <w:p>
            <w:pPr>
              <w:widowControl/>
              <w:jc w:val="both"/>
              <w:textAlignment w:val="center"/>
              <w:rPr>
                <w:color w:val="000000"/>
                <w:sz w:val="18"/>
                <w:szCs w:val="18"/>
              </w:rPr>
            </w:pPr>
            <w:r>
              <w:rPr>
                <w:rFonts w:hint="eastAsia"/>
                <w:color w:val="000000"/>
                <w:sz w:val="18"/>
                <w:szCs w:val="18"/>
                <w:lang w:eastAsia="zh-CN" w:bidi="ar"/>
              </w:rPr>
              <w:t xml:space="preserve">跟岗实习 </w:t>
            </w:r>
          </w:p>
        </w:tc>
        <w:tc>
          <w:tcPr>
            <w:tcW w:w="1080"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default"/>
                <w:color w:val="000000"/>
                <w:sz w:val="18"/>
                <w:szCs w:val="18"/>
                <w:lang w:val="en-US"/>
              </w:rPr>
            </w:pPr>
            <w:r>
              <w:rPr>
                <w:rFonts w:hint="eastAsia"/>
                <w:color w:val="000000"/>
                <w:sz w:val="18"/>
                <w:szCs w:val="18"/>
                <w:lang w:val="en-US" w:eastAsia="zh-CN" w:bidi="ar"/>
              </w:rPr>
              <w:t>17周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continue"/>
            <w:tcBorders>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FF0000"/>
                <w:sz w:val="18"/>
                <w:szCs w:val="18"/>
              </w:rPr>
            </w:pPr>
          </w:p>
        </w:tc>
        <w:tc>
          <w:tcPr>
            <w:tcW w:w="1080" w:type="dxa"/>
            <w:vMerge w:val="continue"/>
            <w:tcBorders>
              <w:left w:val="nil"/>
              <w:bottom w:val="single" w:color="000000" w:sz="4" w:space="0"/>
              <w:right w:val="nil"/>
            </w:tcBorders>
            <w:shd w:val="clear" w:color="auto" w:fill="auto"/>
            <w:vAlign w:val="center"/>
          </w:tcPr>
          <w:p>
            <w:pPr>
              <w:widowControl/>
              <w:jc w:val="center"/>
              <w:textAlignment w:val="center"/>
              <w:rPr>
                <w:rFonts w:hint="eastAsia"/>
                <w:color w:val="auto"/>
                <w:sz w:val="18"/>
                <w:szCs w:val="18"/>
                <w:lang w:eastAsia="zh-CN" w:bidi="ar"/>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widowControl/>
              <w:jc w:val="center"/>
              <w:textAlignment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restart"/>
            <w:tcBorders>
              <w:top w:val="single" w:color="000000" w:sz="8" w:space="0"/>
              <w:left w:val="single" w:color="auto"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课堂教学</w:t>
            </w:r>
          </w:p>
        </w:tc>
        <w:tc>
          <w:tcPr>
            <w:tcW w:w="1080" w:type="dxa"/>
            <w:vMerge w:val="restart"/>
            <w:tcBorders>
              <w:top w:val="nil"/>
              <w:left w:val="nil"/>
              <w:right w:val="nil"/>
            </w:tcBorders>
            <w:shd w:val="clear" w:color="auto" w:fill="auto"/>
            <w:vAlign w:val="center"/>
          </w:tcPr>
          <w:p>
            <w:pPr>
              <w:widowControl/>
              <w:jc w:val="center"/>
              <w:textAlignment w:val="center"/>
              <w:rPr>
                <w:rFonts w:hint="eastAsia"/>
                <w:color w:val="auto"/>
                <w:sz w:val="18"/>
                <w:szCs w:val="18"/>
                <w:lang w:eastAsia="zh-CN" w:bidi="ar"/>
              </w:rPr>
            </w:pPr>
            <w:r>
              <w:rPr>
                <w:rFonts w:hint="eastAsia"/>
                <w:color w:val="auto"/>
                <w:sz w:val="18"/>
                <w:szCs w:val="18"/>
                <w:lang w:eastAsia="zh-CN" w:bidi="ar"/>
              </w:rPr>
              <w:t>16周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jc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continue"/>
            <w:tcBorders>
              <w:left w:val="single" w:color="auto" w:sz="4" w:space="0"/>
              <w:right w:val="single" w:color="000000" w:sz="8" w:space="0"/>
            </w:tcBorders>
            <w:shd w:val="clear" w:color="auto" w:fill="auto"/>
            <w:vAlign w:val="center"/>
          </w:tcPr>
          <w:p>
            <w:pPr>
              <w:widowControl/>
              <w:jc w:val="center"/>
              <w:textAlignment w:val="center"/>
              <w:rPr>
                <w:color w:val="000000"/>
                <w:sz w:val="18"/>
                <w:szCs w:val="18"/>
              </w:rPr>
            </w:pPr>
          </w:p>
        </w:tc>
        <w:tc>
          <w:tcPr>
            <w:tcW w:w="1080" w:type="dxa"/>
            <w:vMerge w:val="continue"/>
            <w:tcBorders>
              <w:left w:val="nil"/>
              <w:right w:val="nil"/>
            </w:tcBorders>
            <w:shd w:val="clear" w:color="auto" w:fill="auto"/>
            <w:vAlign w:val="center"/>
          </w:tcPr>
          <w:p>
            <w:pPr>
              <w:widowControl/>
              <w:jc w:val="center"/>
              <w:textAlignment w:val="center"/>
              <w:rPr>
                <w:color w:val="FF0000"/>
                <w:sz w:val="18"/>
                <w:szCs w:val="18"/>
                <w:lang w:eastAsia="zh-CN" w:bidi="ar"/>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widowControl/>
              <w:textAlignment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widowControl/>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color w:val="00000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auto" w:sz="4"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left w:val="single" w:color="auto"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p>
        </w:tc>
        <w:tc>
          <w:tcPr>
            <w:tcW w:w="1080" w:type="dxa"/>
            <w:vMerge w:val="continue"/>
            <w:tcBorders>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left w:val="single" w:color="auto" w:sz="4"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bottom w:val="single" w:color="000000" w:sz="4" w:space="0"/>
              <w:right w:val="nil"/>
            </w:tcBorders>
            <w:shd w:val="clear" w:color="auto" w:fill="auto"/>
            <w:vAlign w:val="center"/>
          </w:tcPr>
          <w:p>
            <w:pPr>
              <w:jc w:val="center"/>
              <w:rPr>
                <w:color w:val="FF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nil"/>
              <w:left w:val="single" w:color="000000" w:sz="8" w:space="0"/>
              <w:right w:val="nil"/>
            </w:tcBorders>
            <w:shd w:val="clear" w:color="auto" w:fill="auto"/>
            <w:vAlign w:val="center"/>
          </w:tcPr>
          <w:p>
            <w:pPr>
              <w:jc w:val="center"/>
              <w:rPr>
                <w:color w:val="000000"/>
                <w:sz w:val="18"/>
                <w:szCs w:val="18"/>
              </w:rPr>
            </w:pPr>
            <w:r>
              <w:rPr>
                <w:rFonts w:hint="eastAsia"/>
                <w:color w:val="000000"/>
                <w:sz w:val="18"/>
                <w:szCs w:val="18"/>
                <w:lang w:eastAsia="zh-CN" w:bidi="ar"/>
              </w:rPr>
              <w:t>技能测试</w:t>
            </w:r>
          </w:p>
        </w:tc>
        <w:tc>
          <w:tcPr>
            <w:tcW w:w="1080" w:type="dxa"/>
            <w:vMerge w:val="restart"/>
            <w:tcBorders>
              <w:top w:val="nil"/>
              <w:left w:val="single" w:color="000000" w:sz="8" w:space="0"/>
              <w:right w:val="single" w:color="000000" w:sz="8"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3周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8" w:space="0"/>
              <w:right w:val="nil"/>
            </w:tcBorders>
            <w:shd w:val="clear" w:color="auto" w:fill="auto"/>
            <w:vAlign w:val="center"/>
          </w:tcPr>
          <w:p>
            <w:pPr>
              <w:widowControl/>
              <w:jc w:val="center"/>
              <w:textAlignment w:val="center"/>
              <w:rPr>
                <w:color w:val="FF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left w:val="single" w:color="000000" w:sz="8" w:space="0"/>
              <w:right w:val="nil"/>
            </w:tcBorders>
            <w:shd w:val="clear" w:color="auto" w:fill="auto"/>
            <w:vAlign w:val="center"/>
          </w:tcPr>
          <w:p>
            <w:pPr>
              <w:jc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112"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rPr>
            </w:pPr>
            <w:r>
              <w:rPr>
                <w:rFonts w:hint="eastAsia"/>
                <w:color w:val="000000"/>
                <w:lang w:eastAsia="zh-CN" w:bidi="ar"/>
              </w:rPr>
              <w:t>下学期</w:t>
            </w: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nil"/>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18"/>
                <w:szCs w:val="18"/>
              </w:rPr>
            </w:pPr>
            <w:r>
              <w:rPr>
                <w:rFonts w:hint="eastAsia"/>
                <w:color w:val="000000"/>
                <w:sz w:val="18"/>
                <w:szCs w:val="18"/>
                <w:lang w:eastAsia="zh-CN" w:bidi="ar"/>
              </w:rPr>
              <w:t>18周</w:t>
            </w:r>
          </w:p>
        </w:tc>
        <w:tc>
          <w:tcPr>
            <w:tcW w:w="1080" w:type="dxa"/>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hint="eastAsia"/>
                <w:color w:val="000000"/>
                <w:sz w:val="18"/>
                <w:szCs w:val="18"/>
                <w:lang w:eastAsia="zh-CN" w:bidi="ar"/>
              </w:rPr>
            </w:pPr>
            <w:r>
              <w:rPr>
                <w:rFonts w:hint="eastAsia"/>
                <w:color w:val="000000"/>
                <w:sz w:val="18"/>
                <w:szCs w:val="18"/>
                <w:lang w:eastAsia="zh-CN" w:bidi="ar"/>
              </w:rPr>
              <w:t>顶岗实习</w:t>
            </w:r>
          </w:p>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毕业设计</w:t>
            </w:r>
          </w:p>
        </w:tc>
        <w:tc>
          <w:tcPr>
            <w:tcW w:w="1080" w:type="dxa"/>
            <w:vMerge w:val="restart"/>
            <w:tcBorders>
              <w:top w:val="nil"/>
              <w:left w:val="nil"/>
              <w:right w:val="single" w:color="000000" w:sz="8" w:space="0"/>
            </w:tcBorders>
            <w:shd w:val="clear" w:color="auto" w:fill="auto"/>
            <w:vAlign w:val="center"/>
          </w:tcPr>
          <w:p>
            <w:pPr>
              <w:widowControl/>
              <w:jc w:val="center"/>
              <w:textAlignment w:val="center"/>
              <w:rPr>
                <w:rFonts w:hint="default"/>
                <w:color w:val="000000"/>
                <w:sz w:val="18"/>
                <w:szCs w:val="18"/>
                <w:lang w:val="en-US"/>
              </w:rPr>
            </w:pPr>
            <w:r>
              <w:rPr>
                <w:rFonts w:hint="eastAsia"/>
                <w:color w:val="000000"/>
                <w:sz w:val="18"/>
                <w:szCs w:val="18"/>
                <w:lang w:val="en-US" w:eastAsia="zh-CN" w:bidi="ar"/>
              </w:rPr>
              <w:t>20周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widowControl/>
              <w:jc w:val="center"/>
              <w:textAlignment w:val="center"/>
              <w:rPr>
                <w:color w:val="000000"/>
                <w:sz w:val="18"/>
                <w:szCs w:val="18"/>
              </w:rPr>
            </w:pPr>
          </w:p>
        </w:tc>
        <w:tc>
          <w:tcPr>
            <w:tcW w:w="1080" w:type="dxa"/>
            <w:vMerge w:val="continue"/>
            <w:tcBorders>
              <w:left w:val="nil"/>
              <w:right w:val="single" w:color="000000" w:sz="8"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widowControl/>
              <w:jc w:val="center"/>
              <w:textAlignment w:val="center"/>
              <w:rPr>
                <w:color w:val="000000"/>
                <w:sz w:val="18"/>
                <w:szCs w:val="18"/>
              </w:rPr>
            </w:pPr>
          </w:p>
        </w:tc>
        <w:tc>
          <w:tcPr>
            <w:tcW w:w="1080" w:type="dxa"/>
            <w:vMerge w:val="continue"/>
            <w:tcBorders>
              <w:left w:val="nil"/>
              <w:right w:val="single" w:color="000000" w:sz="8"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142"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bottom w:val="single" w:color="000000" w:sz="4" w:space="0"/>
              <w:right w:val="single" w:color="000000" w:sz="8" w:space="0"/>
            </w:tcBorders>
            <w:shd w:val="clear" w:color="auto" w:fill="auto"/>
            <w:vAlign w:val="center"/>
          </w:tcPr>
          <w:p>
            <w:pPr>
              <w:jc w:val="center"/>
              <w:rPr>
                <w:color w:val="000000"/>
                <w:sz w:val="18"/>
                <w:szCs w:val="18"/>
              </w:rPr>
            </w:pPr>
          </w:p>
        </w:tc>
      </w:tr>
    </w:tbl>
    <w:p/>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before="120" w:beforeLines="50" w:line="360" w:lineRule="auto"/>
        <w:ind w:firstLine="482" w:firstLineChars="200"/>
        <w:outlineLvl w:val="1"/>
        <w:rPr>
          <w:b/>
          <w:sz w:val="24"/>
          <w:szCs w:val="24"/>
          <w:lang w:eastAsia="zh-CN"/>
        </w:rPr>
      </w:pPr>
      <w:bookmarkStart w:id="27" w:name="_Toc9032"/>
      <w:r>
        <w:rPr>
          <w:rFonts w:hint="eastAsia"/>
          <w:b/>
          <w:sz w:val="24"/>
          <w:szCs w:val="24"/>
          <w:lang w:eastAsia="zh-CN"/>
        </w:rPr>
        <w:t>（二）课程安排及时间分配</w:t>
      </w:r>
      <w:bookmarkEnd w:id="27"/>
    </w:p>
    <w:p>
      <w:pPr>
        <w:pStyle w:val="4"/>
        <w:jc w:val="center"/>
        <w:rPr>
          <w:b/>
          <w:bCs/>
        </w:rPr>
      </w:pPr>
      <w:r>
        <w:rPr>
          <w:rFonts w:hint="eastAsia"/>
          <w:b/>
          <w:bCs/>
          <w:lang w:val="en-US" w:eastAsia="zh-CN"/>
        </w:rPr>
        <w:t>现代物流管理</w:t>
      </w:r>
      <w:r>
        <w:rPr>
          <w:b/>
          <w:bCs/>
          <w:lang w:eastAsia="zh-CN"/>
        </w:rPr>
        <w:t>专业课程设置表</w:t>
      </w:r>
    </w:p>
    <w:tbl>
      <w:tblPr>
        <w:tblStyle w:val="20"/>
        <w:tblW w:w="13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9"/>
        <w:gridCol w:w="594"/>
        <w:gridCol w:w="12"/>
        <w:gridCol w:w="1269"/>
        <w:gridCol w:w="2504"/>
        <w:gridCol w:w="635"/>
        <w:gridCol w:w="11"/>
        <w:gridCol w:w="612"/>
        <w:gridCol w:w="3"/>
        <w:gridCol w:w="585"/>
        <w:gridCol w:w="565"/>
        <w:gridCol w:w="635"/>
        <w:gridCol w:w="508"/>
        <w:gridCol w:w="542"/>
        <w:gridCol w:w="485"/>
        <w:gridCol w:w="11"/>
        <w:gridCol w:w="566"/>
        <w:gridCol w:w="588"/>
        <w:gridCol w:w="935"/>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31" w:type="dxa"/>
            <w:gridSpan w:val="2"/>
            <w:vMerge w:val="restart"/>
            <w:tcBorders>
              <w:right w:val="single" w:color="000000" w:sz="6" w:space="0"/>
            </w:tcBorders>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lang w:eastAsia="zh-CN"/>
              </w:rPr>
            </w:pPr>
          </w:p>
          <w:p>
            <w:pPr>
              <w:pStyle w:val="19"/>
              <w:keepNext w:val="0"/>
              <w:keepLines w:val="0"/>
              <w:pageBreakBefore w:val="0"/>
              <w:kinsoku/>
              <w:wordWrap/>
              <w:overflowPunct/>
              <w:topLinePunct w:val="0"/>
              <w:autoSpaceDE w:val="0"/>
              <w:autoSpaceDN w:val="0"/>
              <w:bidi w:val="0"/>
              <w:adjustRightInd/>
              <w:snapToGrid/>
              <w:spacing w:line="324" w:lineRule="auto"/>
              <w:ind w:left="0" w:right="0"/>
              <w:jc w:val="center"/>
              <w:textAlignment w:val="auto"/>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课程</w:t>
            </w:r>
          </w:p>
          <w:p>
            <w:pPr>
              <w:pStyle w:val="19"/>
              <w:keepNext w:val="0"/>
              <w:keepLines w:val="0"/>
              <w:pageBreakBefore w:val="0"/>
              <w:kinsoku/>
              <w:wordWrap/>
              <w:overflowPunct/>
              <w:topLinePunct w:val="0"/>
              <w:autoSpaceDE w:val="0"/>
              <w:autoSpaceDN w:val="0"/>
              <w:bidi w:val="0"/>
              <w:adjustRightInd/>
              <w:snapToGrid/>
              <w:spacing w:line="324" w:lineRule="auto"/>
              <w:ind w:left="0" w:right="0"/>
              <w:jc w:val="center"/>
              <w:textAlignment w:val="auto"/>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类型</w:t>
            </w:r>
          </w:p>
        </w:tc>
        <w:tc>
          <w:tcPr>
            <w:tcW w:w="606" w:type="dxa"/>
            <w:gridSpan w:val="2"/>
            <w:vMerge w:val="restart"/>
            <w:tcBorders>
              <w:left w:val="single" w:color="000000" w:sz="6" w:space="0"/>
            </w:tcBorders>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修读</w:t>
            </w:r>
          </w:p>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性质</w:t>
            </w:r>
          </w:p>
        </w:tc>
        <w:tc>
          <w:tcPr>
            <w:tcW w:w="1269" w:type="dxa"/>
            <w:vMerge w:val="restart"/>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课程代码</w:t>
            </w:r>
          </w:p>
        </w:tc>
        <w:tc>
          <w:tcPr>
            <w:tcW w:w="2504" w:type="dxa"/>
            <w:vMerge w:val="restart"/>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课程名称</w:t>
            </w:r>
          </w:p>
        </w:tc>
        <w:tc>
          <w:tcPr>
            <w:tcW w:w="646" w:type="dxa"/>
            <w:gridSpan w:val="2"/>
            <w:vMerge w:val="restart"/>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学分</w:t>
            </w:r>
          </w:p>
        </w:tc>
        <w:tc>
          <w:tcPr>
            <w:tcW w:w="615" w:type="dxa"/>
            <w:gridSpan w:val="2"/>
            <w:vMerge w:val="restart"/>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学时</w:t>
            </w:r>
          </w:p>
        </w:tc>
        <w:tc>
          <w:tcPr>
            <w:tcW w:w="1150" w:type="dxa"/>
            <w:gridSpan w:val="2"/>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计划学时</w:t>
            </w:r>
          </w:p>
        </w:tc>
        <w:tc>
          <w:tcPr>
            <w:tcW w:w="3335" w:type="dxa"/>
            <w:gridSpan w:val="7"/>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各学期课内周学时分配</w:t>
            </w:r>
          </w:p>
        </w:tc>
        <w:tc>
          <w:tcPr>
            <w:tcW w:w="935" w:type="dxa"/>
            <w:vMerge w:val="restart"/>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lang w:eastAsia="zh-CN"/>
              </w:rPr>
            </w:pPr>
          </w:p>
          <w:p>
            <w:pPr>
              <w:pStyle w:val="19"/>
              <w:keepNext w:val="0"/>
              <w:keepLines w:val="0"/>
              <w:pageBreakBefore w:val="0"/>
              <w:kinsoku/>
              <w:wordWrap/>
              <w:overflowPunct/>
              <w:topLinePunct w:val="0"/>
              <w:autoSpaceDE w:val="0"/>
              <w:autoSpaceDN w:val="0"/>
              <w:bidi w:val="0"/>
              <w:adjustRightInd/>
              <w:snapToGrid/>
              <w:spacing w:line="324" w:lineRule="auto"/>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考核方式</w:t>
            </w:r>
          </w:p>
        </w:tc>
        <w:tc>
          <w:tcPr>
            <w:tcW w:w="1512" w:type="dxa"/>
            <w:vMerge w:val="restart"/>
            <w:vAlign w:val="center"/>
          </w:tcPr>
          <w:p>
            <w:pPr>
              <w:pStyle w:val="19"/>
              <w:keepNext w:val="0"/>
              <w:keepLines w:val="0"/>
              <w:pageBreakBefore w:val="0"/>
              <w:tabs>
                <w:tab w:val="left" w:pos="342"/>
              </w:tabs>
              <w:kinsoku/>
              <w:wordWrap/>
              <w:overflowPunct/>
              <w:topLinePunct w:val="0"/>
              <w:autoSpaceDE w:val="0"/>
              <w:autoSpaceDN w:val="0"/>
              <w:bidi w:val="0"/>
              <w:adjustRightInd/>
              <w:snapToGrid/>
              <w:spacing w:line="324" w:lineRule="auto"/>
              <w:ind w:left="0" w:right="0"/>
              <w:jc w:val="center"/>
              <w:textAlignment w:val="auto"/>
              <w:rPr>
                <w:rFonts w:hint="default" w:ascii="宋体" w:hAnsi="宋体" w:eastAsia="宋体" w:cs="宋体"/>
                <w:b w:val="0"/>
                <w:bCs/>
                <w:sz w:val="18"/>
                <w:szCs w:val="18"/>
                <w:lang w:val="en-US" w:eastAsia="zh-CN"/>
              </w:rPr>
            </w:pPr>
            <w:r>
              <w:rPr>
                <w:rFonts w:hint="eastAsia" w:cs="宋体"/>
                <w:b w:val="0"/>
                <w:bCs/>
                <w:sz w:val="18"/>
                <w:szCs w:val="1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631" w:type="dxa"/>
            <w:gridSpan w:val="2"/>
            <w:vMerge w:val="continue"/>
            <w:tcBorders>
              <w:top w:val="nil"/>
              <w:right w:val="single" w:color="000000" w:sz="6" w:space="0"/>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606" w:type="dxa"/>
            <w:gridSpan w:val="2"/>
            <w:vMerge w:val="continue"/>
            <w:tcBorders>
              <w:top w:val="nil"/>
              <w:left w:val="single" w:color="000000" w:sz="6" w:space="0"/>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1269"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2504"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646" w:type="dxa"/>
            <w:gridSpan w:val="2"/>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615" w:type="dxa"/>
            <w:gridSpan w:val="2"/>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1150" w:type="dxa"/>
            <w:gridSpan w:val="2"/>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课堂教学</w:t>
            </w:r>
          </w:p>
        </w:tc>
        <w:tc>
          <w:tcPr>
            <w:tcW w:w="635"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一</w:t>
            </w:r>
          </w:p>
        </w:tc>
        <w:tc>
          <w:tcPr>
            <w:tcW w:w="508"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二</w:t>
            </w:r>
          </w:p>
        </w:tc>
        <w:tc>
          <w:tcPr>
            <w:tcW w:w="542"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三</w:t>
            </w:r>
          </w:p>
        </w:tc>
        <w:tc>
          <w:tcPr>
            <w:tcW w:w="496" w:type="dxa"/>
            <w:gridSpan w:val="2"/>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四</w:t>
            </w:r>
          </w:p>
        </w:tc>
        <w:tc>
          <w:tcPr>
            <w:tcW w:w="566"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五</w:t>
            </w:r>
          </w:p>
        </w:tc>
        <w:tc>
          <w:tcPr>
            <w:tcW w:w="588"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六</w:t>
            </w:r>
          </w:p>
        </w:tc>
        <w:tc>
          <w:tcPr>
            <w:tcW w:w="935"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1512" w:type="dxa"/>
            <w:vMerge w:val="continue"/>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31" w:type="dxa"/>
            <w:gridSpan w:val="2"/>
            <w:vMerge w:val="continue"/>
            <w:tcBorders>
              <w:top w:val="nil"/>
              <w:right w:val="single" w:color="000000" w:sz="6" w:space="0"/>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606" w:type="dxa"/>
            <w:gridSpan w:val="2"/>
            <w:vMerge w:val="continue"/>
            <w:tcBorders>
              <w:top w:val="nil"/>
              <w:left w:val="single" w:color="000000" w:sz="6" w:space="0"/>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1269"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2504"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646" w:type="dxa"/>
            <w:gridSpan w:val="2"/>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615" w:type="dxa"/>
            <w:gridSpan w:val="2"/>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585"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理论</w:t>
            </w:r>
          </w:p>
        </w:tc>
        <w:tc>
          <w:tcPr>
            <w:tcW w:w="565"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实践</w:t>
            </w:r>
          </w:p>
        </w:tc>
        <w:tc>
          <w:tcPr>
            <w:tcW w:w="635"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default" w:ascii="宋体" w:hAnsi="宋体" w:eastAsia="宋体" w:cs="宋体"/>
                <w:b w:val="0"/>
                <w:bCs/>
                <w:sz w:val="18"/>
                <w:szCs w:val="18"/>
                <w:lang w:val="en-US" w:eastAsia="zh-CN"/>
              </w:rPr>
            </w:pPr>
            <w:r>
              <w:rPr>
                <w:rFonts w:hint="eastAsia" w:cs="宋体"/>
                <w:b w:val="0"/>
                <w:bCs/>
                <w:sz w:val="18"/>
                <w:szCs w:val="18"/>
                <w:lang w:val="en-US" w:eastAsia="zh-CN"/>
              </w:rPr>
              <w:t>19</w:t>
            </w:r>
          </w:p>
        </w:tc>
        <w:tc>
          <w:tcPr>
            <w:tcW w:w="508"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default" w:ascii="宋体" w:hAnsi="宋体" w:eastAsia="宋体" w:cs="宋体"/>
                <w:b w:val="0"/>
                <w:bCs/>
                <w:sz w:val="18"/>
                <w:szCs w:val="18"/>
                <w:lang w:val="en-US" w:eastAsia="zh-CN"/>
              </w:rPr>
            </w:pPr>
            <w:r>
              <w:rPr>
                <w:rFonts w:hint="eastAsia" w:cs="宋体"/>
                <w:b w:val="0"/>
                <w:bCs/>
                <w:sz w:val="18"/>
                <w:szCs w:val="18"/>
                <w:lang w:val="en-US" w:eastAsia="zh-CN"/>
              </w:rPr>
              <w:t>20</w:t>
            </w:r>
          </w:p>
        </w:tc>
        <w:tc>
          <w:tcPr>
            <w:tcW w:w="542"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default" w:ascii="宋体" w:hAnsi="宋体" w:eastAsia="宋体" w:cs="宋体"/>
                <w:b w:val="0"/>
                <w:bCs/>
                <w:sz w:val="18"/>
                <w:szCs w:val="18"/>
                <w:lang w:val="en-US" w:eastAsia="zh-CN"/>
              </w:rPr>
            </w:pPr>
            <w:r>
              <w:rPr>
                <w:rFonts w:hint="eastAsia" w:cs="宋体"/>
                <w:b w:val="0"/>
                <w:bCs/>
                <w:sz w:val="18"/>
                <w:szCs w:val="18"/>
                <w:lang w:val="en-US" w:eastAsia="zh-CN"/>
              </w:rPr>
              <w:t>20</w:t>
            </w:r>
          </w:p>
        </w:tc>
        <w:tc>
          <w:tcPr>
            <w:tcW w:w="496" w:type="dxa"/>
            <w:gridSpan w:val="2"/>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default" w:ascii="宋体" w:hAnsi="宋体" w:eastAsia="宋体" w:cs="宋体"/>
                <w:b w:val="0"/>
                <w:bCs/>
                <w:sz w:val="18"/>
                <w:szCs w:val="18"/>
                <w:lang w:val="en-US" w:eastAsia="zh-CN"/>
              </w:rPr>
            </w:pPr>
            <w:r>
              <w:rPr>
                <w:rFonts w:hint="eastAsia" w:cs="宋体"/>
                <w:b w:val="0"/>
                <w:bCs/>
                <w:sz w:val="18"/>
                <w:szCs w:val="18"/>
                <w:lang w:val="en-US" w:eastAsia="zh-CN"/>
              </w:rPr>
              <w:t>20</w:t>
            </w:r>
          </w:p>
        </w:tc>
        <w:tc>
          <w:tcPr>
            <w:tcW w:w="566"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default" w:ascii="宋体" w:hAnsi="宋体" w:eastAsia="宋体" w:cs="宋体"/>
                <w:b w:val="0"/>
                <w:bCs/>
                <w:sz w:val="18"/>
                <w:szCs w:val="18"/>
                <w:lang w:val="en-US" w:eastAsia="zh-CN"/>
              </w:rPr>
            </w:pPr>
            <w:r>
              <w:rPr>
                <w:rFonts w:hint="eastAsia" w:cs="宋体"/>
                <w:b w:val="0"/>
                <w:bCs/>
                <w:sz w:val="18"/>
                <w:szCs w:val="18"/>
                <w:lang w:val="en-US" w:eastAsia="zh-CN"/>
              </w:rPr>
              <w:t>20</w:t>
            </w:r>
          </w:p>
        </w:tc>
        <w:tc>
          <w:tcPr>
            <w:tcW w:w="588" w:type="dxa"/>
            <w:vAlign w:val="center"/>
          </w:tcPr>
          <w:p>
            <w:pPr>
              <w:pStyle w:val="19"/>
              <w:keepNext w:val="0"/>
              <w:keepLines w:val="0"/>
              <w:pageBreakBefore w:val="0"/>
              <w:kinsoku/>
              <w:wordWrap/>
              <w:overflowPunct/>
              <w:topLinePunct w:val="0"/>
              <w:autoSpaceDE w:val="0"/>
              <w:autoSpaceDN w:val="0"/>
              <w:bidi w:val="0"/>
              <w:adjustRightInd/>
              <w:snapToGrid/>
              <w:ind w:left="0" w:right="0"/>
              <w:jc w:val="center"/>
              <w:textAlignment w:val="auto"/>
              <w:rPr>
                <w:rFonts w:hint="default" w:ascii="宋体" w:hAnsi="宋体" w:eastAsia="宋体" w:cs="宋体"/>
                <w:b w:val="0"/>
                <w:bCs/>
                <w:sz w:val="18"/>
                <w:szCs w:val="18"/>
                <w:lang w:val="en-US" w:eastAsia="zh-CN"/>
              </w:rPr>
            </w:pPr>
            <w:r>
              <w:rPr>
                <w:rFonts w:hint="eastAsia" w:cs="宋体"/>
                <w:b w:val="0"/>
                <w:bCs/>
                <w:sz w:val="18"/>
                <w:szCs w:val="18"/>
                <w:lang w:val="en-US" w:eastAsia="zh-CN"/>
              </w:rPr>
              <w:t>20</w:t>
            </w:r>
          </w:p>
        </w:tc>
        <w:tc>
          <w:tcPr>
            <w:tcW w:w="935"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c>
          <w:tcPr>
            <w:tcW w:w="1512" w:type="dxa"/>
            <w:vMerge w:val="continue"/>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31" w:type="dxa"/>
            <w:gridSpan w:val="2"/>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础</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sz w:val="18"/>
                <w:szCs w:val="18"/>
                <w:lang w:eastAsia="zh-CN"/>
              </w:rPr>
            </w:pPr>
            <w:r>
              <w:rPr>
                <w:rFonts w:hint="eastAsia" w:ascii="宋体" w:hAnsi="宋体" w:eastAsia="宋体" w:cs="宋体"/>
                <w:i w:val="0"/>
                <w:iCs w:val="0"/>
                <w:color w:val="000000"/>
                <w:kern w:val="0"/>
                <w:sz w:val="18"/>
                <w:szCs w:val="18"/>
                <w:u w:val="none"/>
                <w:lang w:val="en-US" w:eastAsia="zh-CN" w:bidi="ar"/>
              </w:rPr>
              <w:t>课</w:t>
            </w:r>
          </w:p>
        </w:tc>
        <w:tc>
          <w:tcPr>
            <w:tcW w:w="606" w:type="dxa"/>
            <w:gridSpan w:val="2"/>
            <w:vMerge w:val="restart"/>
            <w:vAlign w:val="center"/>
          </w:tcPr>
          <w:p>
            <w:pPr>
              <w:keepNext w:val="0"/>
              <w:keepLines w:val="0"/>
              <w:widowControl/>
              <w:suppressLineNumbers w:val="0"/>
              <w:jc w:val="center"/>
              <w:textAlignment w:val="center"/>
              <w:rPr>
                <w:rFonts w:hint="eastAsia" w:ascii="宋体" w:hAnsi="宋体" w:eastAsia="宋体" w:cs="宋体"/>
                <w:b w:val="0"/>
                <w:bCs/>
                <w:sz w:val="18"/>
                <w:szCs w:val="18"/>
                <w:lang w:eastAsia="zh-CN"/>
              </w:rPr>
            </w:pPr>
            <w:r>
              <w:rPr>
                <w:rFonts w:hint="eastAsia" w:ascii="宋体" w:hAnsi="宋体" w:eastAsia="宋体" w:cs="宋体"/>
                <w:i w:val="0"/>
                <w:iCs w:val="0"/>
                <w:color w:val="000000"/>
                <w:kern w:val="0"/>
                <w:sz w:val="18"/>
                <w:szCs w:val="18"/>
                <w:u w:val="none"/>
                <w:lang w:val="en-US" w:eastAsia="zh-CN" w:bidi="ar"/>
              </w:rPr>
              <w:t>必修</w:t>
            </w:r>
          </w:p>
        </w:tc>
        <w:tc>
          <w:tcPr>
            <w:tcW w:w="1269" w:type="dxa"/>
            <w:vAlign w:val="center"/>
          </w:tcPr>
          <w:p>
            <w:pPr>
              <w:pStyle w:val="19"/>
              <w:snapToGrid w:val="0"/>
              <w:spacing w:before="52"/>
              <w:ind w:right="79" w:rightChars="0"/>
              <w:jc w:val="center"/>
              <w:textAlignment w:val="baseline"/>
              <w:rPr>
                <w:rFonts w:hint="eastAsia" w:ascii="宋体" w:hAnsi="宋体" w:eastAsia="宋体" w:cs="宋体"/>
                <w:b w:val="0"/>
                <w:bCs/>
                <w:sz w:val="18"/>
                <w:szCs w:val="18"/>
              </w:rPr>
            </w:pPr>
            <w:r>
              <w:rPr>
                <w:rFonts w:hint="eastAsia"/>
                <w:sz w:val="18"/>
                <w:szCs w:val="18"/>
                <w:lang w:eastAsia="zh-CN"/>
              </w:rPr>
              <w:t>0000031101</w:t>
            </w:r>
          </w:p>
        </w:tc>
        <w:tc>
          <w:tcPr>
            <w:tcW w:w="2504" w:type="dxa"/>
            <w:vAlign w:val="center"/>
          </w:tcPr>
          <w:p>
            <w:pPr>
              <w:pStyle w:val="19"/>
              <w:snapToGrid w:val="0"/>
              <w:jc w:val="center"/>
              <w:textAlignment w:val="baseline"/>
              <w:rPr>
                <w:rFonts w:hint="eastAsia" w:ascii="宋体" w:hAnsi="宋体" w:eastAsia="宋体" w:cs="宋体"/>
                <w:b w:val="0"/>
                <w:bCs/>
                <w:sz w:val="18"/>
                <w:szCs w:val="18"/>
                <w:lang w:eastAsia="zh-CN"/>
              </w:rPr>
            </w:pPr>
            <w:r>
              <w:rPr>
                <w:rFonts w:hint="eastAsia"/>
                <w:sz w:val="18"/>
                <w:szCs w:val="18"/>
                <w:lang w:eastAsia="zh-CN"/>
              </w:rPr>
              <w:t>军事课、国防教育</w:t>
            </w:r>
          </w:p>
        </w:tc>
        <w:tc>
          <w:tcPr>
            <w:tcW w:w="64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2</w:t>
            </w:r>
          </w:p>
        </w:tc>
        <w:tc>
          <w:tcPr>
            <w:tcW w:w="615" w:type="dxa"/>
            <w:gridSpan w:val="2"/>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36</w:t>
            </w:r>
          </w:p>
        </w:tc>
        <w:tc>
          <w:tcPr>
            <w:tcW w:w="585" w:type="dxa"/>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36</w:t>
            </w:r>
          </w:p>
        </w:tc>
        <w:tc>
          <w:tcPr>
            <w:tcW w:w="565" w:type="dxa"/>
            <w:vAlign w:val="center"/>
          </w:tcPr>
          <w:p>
            <w:pPr>
              <w:pStyle w:val="19"/>
              <w:snapToGrid w:val="0"/>
              <w:jc w:val="center"/>
              <w:textAlignment w:val="baseline"/>
              <w:rPr>
                <w:rFonts w:hint="eastAsia" w:ascii="宋体" w:hAnsi="宋体" w:eastAsia="宋体" w:cs="宋体"/>
                <w:b w:val="0"/>
                <w:bCs/>
                <w:sz w:val="18"/>
                <w:szCs w:val="18"/>
              </w:rPr>
            </w:pPr>
          </w:p>
        </w:tc>
        <w:tc>
          <w:tcPr>
            <w:tcW w:w="635"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三周</w:t>
            </w:r>
          </w:p>
        </w:tc>
        <w:tc>
          <w:tcPr>
            <w:tcW w:w="508" w:type="dxa"/>
            <w:vAlign w:val="center"/>
          </w:tcPr>
          <w:p>
            <w:pPr>
              <w:pStyle w:val="19"/>
              <w:snapToGrid w:val="0"/>
              <w:jc w:val="center"/>
              <w:textAlignment w:val="baseline"/>
              <w:rPr>
                <w:rFonts w:hint="eastAsia" w:ascii="宋体" w:hAnsi="宋体" w:eastAsia="宋体" w:cs="宋体"/>
                <w:b w:val="0"/>
                <w:bCs/>
                <w:sz w:val="18"/>
                <w:szCs w:val="18"/>
              </w:rPr>
            </w:pPr>
          </w:p>
        </w:tc>
        <w:tc>
          <w:tcPr>
            <w:tcW w:w="542" w:type="dxa"/>
            <w:vAlign w:val="center"/>
          </w:tcPr>
          <w:p>
            <w:pPr>
              <w:pStyle w:val="19"/>
              <w:snapToGrid w:val="0"/>
              <w:jc w:val="center"/>
              <w:textAlignment w:val="baseline"/>
              <w:rPr>
                <w:rFonts w:hint="eastAsia" w:ascii="宋体" w:hAnsi="宋体" w:eastAsia="宋体" w:cs="宋体"/>
                <w:b w:val="0"/>
                <w:bCs/>
                <w:sz w:val="18"/>
                <w:szCs w:val="18"/>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lang w:eastAsia="zh-CN"/>
              </w:rPr>
            </w:pPr>
          </w:p>
        </w:tc>
        <w:tc>
          <w:tcPr>
            <w:tcW w:w="606" w:type="dxa"/>
            <w:gridSpan w:val="2"/>
            <w:vMerge w:val="continue"/>
            <w:vAlign w:val="center"/>
          </w:tcPr>
          <w:p>
            <w:pPr>
              <w:jc w:val="center"/>
              <w:rPr>
                <w:rFonts w:hint="eastAsia" w:ascii="宋体" w:hAnsi="宋体" w:eastAsia="宋体" w:cs="宋体"/>
                <w:b w:val="0"/>
                <w:bCs/>
                <w:sz w:val="18"/>
                <w:szCs w:val="18"/>
                <w:lang w:eastAsia="zh-CN"/>
              </w:rPr>
            </w:pPr>
          </w:p>
        </w:tc>
        <w:tc>
          <w:tcPr>
            <w:tcW w:w="1269" w:type="dxa"/>
            <w:vAlign w:val="center"/>
          </w:tcPr>
          <w:p>
            <w:pPr>
              <w:pStyle w:val="19"/>
              <w:snapToGrid w:val="0"/>
              <w:jc w:val="center"/>
              <w:textAlignment w:val="baseline"/>
              <w:rPr>
                <w:rFonts w:hint="eastAsia" w:ascii="宋体" w:hAnsi="宋体" w:eastAsia="宋体" w:cs="宋体"/>
                <w:b w:val="0"/>
                <w:bCs/>
                <w:i w:val="0"/>
                <w:color w:val="000000"/>
                <w:sz w:val="18"/>
                <w:szCs w:val="18"/>
                <w:u w:val="none"/>
              </w:rPr>
            </w:pPr>
            <w:r>
              <w:rPr>
                <w:rFonts w:hint="eastAsia"/>
                <w:sz w:val="18"/>
                <w:szCs w:val="18"/>
                <w:lang w:eastAsia="zh-CN"/>
              </w:rPr>
              <w:t>0000031102</w:t>
            </w:r>
          </w:p>
        </w:tc>
        <w:tc>
          <w:tcPr>
            <w:tcW w:w="2504"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劳动教育</w:t>
            </w:r>
          </w:p>
        </w:tc>
        <w:tc>
          <w:tcPr>
            <w:tcW w:w="64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1</w:t>
            </w:r>
          </w:p>
        </w:tc>
        <w:tc>
          <w:tcPr>
            <w:tcW w:w="615" w:type="dxa"/>
            <w:gridSpan w:val="2"/>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18</w:t>
            </w:r>
          </w:p>
        </w:tc>
        <w:tc>
          <w:tcPr>
            <w:tcW w:w="585" w:type="dxa"/>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18</w:t>
            </w:r>
          </w:p>
        </w:tc>
        <w:tc>
          <w:tcPr>
            <w:tcW w:w="565" w:type="dxa"/>
            <w:vAlign w:val="center"/>
          </w:tcPr>
          <w:p>
            <w:pPr>
              <w:pStyle w:val="19"/>
              <w:snapToGrid w:val="0"/>
              <w:jc w:val="center"/>
              <w:textAlignment w:val="baseline"/>
              <w:rPr>
                <w:rFonts w:hint="eastAsia" w:ascii="宋体" w:hAnsi="宋体" w:eastAsia="宋体" w:cs="宋体"/>
                <w:b w:val="0"/>
                <w:bCs/>
                <w:sz w:val="18"/>
                <w:szCs w:val="18"/>
              </w:rPr>
            </w:pPr>
          </w:p>
        </w:tc>
        <w:tc>
          <w:tcPr>
            <w:tcW w:w="63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08"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一周</w:t>
            </w: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实训劳动</w:t>
            </w: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实训劳动</w:t>
            </w: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0000011115</w:t>
            </w:r>
          </w:p>
        </w:tc>
        <w:tc>
          <w:tcPr>
            <w:tcW w:w="2504" w:type="dxa"/>
            <w:vAlign w:val="center"/>
          </w:tcPr>
          <w:p>
            <w:pPr>
              <w:pStyle w:val="19"/>
              <w:snapToGrid w:val="0"/>
              <w:jc w:val="center"/>
              <w:textAlignment w:val="baseline"/>
              <w:rPr>
                <w:rFonts w:hint="eastAsia" w:ascii="宋体" w:hAnsi="宋体" w:eastAsia="宋体" w:cs="宋体"/>
                <w:b w:val="0"/>
                <w:bCs/>
                <w:sz w:val="18"/>
                <w:szCs w:val="18"/>
                <w:lang w:val="en-US"/>
              </w:rPr>
            </w:pPr>
            <w:r>
              <w:rPr>
                <w:rFonts w:hint="eastAsia"/>
                <w:sz w:val="18"/>
                <w:szCs w:val="18"/>
                <w:lang w:eastAsia="zh-CN"/>
              </w:rPr>
              <w:t>职业规划</w:t>
            </w:r>
          </w:p>
        </w:tc>
        <w:tc>
          <w:tcPr>
            <w:tcW w:w="646" w:type="dxa"/>
            <w:gridSpan w:val="2"/>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32</w:t>
            </w:r>
          </w:p>
        </w:tc>
        <w:tc>
          <w:tcPr>
            <w:tcW w:w="585" w:type="dxa"/>
            <w:vAlign w:val="center"/>
          </w:tcPr>
          <w:p>
            <w:pPr>
              <w:pStyle w:val="19"/>
              <w:snapToGrid w:val="0"/>
              <w:jc w:val="center"/>
              <w:textAlignment w:val="baseline"/>
              <w:rPr>
                <w:rFonts w:hint="default" w:ascii="宋体" w:hAnsi="宋体" w:eastAsia="宋体" w:cs="宋体"/>
                <w:b w:val="0"/>
                <w:bCs/>
                <w:sz w:val="18"/>
                <w:szCs w:val="18"/>
                <w:lang w:val="en-US"/>
              </w:rPr>
            </w:pPr>
            <w:r>
              <w:rPr>
                <w:rFonts w:hint="eastAsia"/>
                <w:sz w:val="18"/>
                <w:szCs w:val="18"/>
                <w:lang w:eastAsia="zh-CN"/>
              </w:rPr>
              <w:t>32</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2</w:t>
            </w:r>
          </w:p>
        </w:tc>
        <w:tc>
          <w:tcPr>
            <w:tcW w:w="508"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42" w:type="dxa"/>
            <w:vAlign w:val="center"/>
          </w:tcPr>
          <w:p>
            <w:pPr>
              <w:pStyle w:val="19"/>
              <w:snapToGrid w:val="0"/>
              <w:jc w:val="center"/>
              <w:textAlignment w:val="baseline"/>
              <w:rPr>
                <w:rFonts w:hint="eastAsia" w:ascii="宋体" w:hAnsi="宋体" w:eastAsia="宋体" w:cs="宋体"/>
                <w:b w:val="0"/>
                <w:bCs/>
                <w:sz w:val="18"/>
                <w:szCs w:val="18"/>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0000011107</w:t>
            </w:r>
          </w:p>
        </w:tc>
        <w:tc>
          <w:tcPr>
            <w:tcW w:w="2504"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大学语文</w:t>
            </w:r>
          </w:p>
        </w:tc>
        <w:tc>
          <w:tcPr>
            <w:tcW w:w="646" w:type="dxa"/>
            <w:gridSpan w:val="2"/>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b w:val="0"/>
                <w:bCs/>
                <w:i w:val="0"/>
                <w:color w:val="000000"/>
                <w:kern w:val="0"/>
                <w:sz w:val="18"/>
                <w:szCs w:val="18"/>
                <w:u w:val="none"/>
                <w:lang w:val="en-US" w:eastAsia="zh-CN" w:bidi="ar"/>
              </w:rPr>
            </w:pPr>
            <w:r>
              <w:rPr>
                <w:rFonts w:hint="eastAsia"/>
                <w:sz w:val="18"/>
                <w:szCs w:val="18"/>
                <w:lang w:eastAsia="zh-CN"/>
              </w:rPr>
              <w:t>32</w:t>
            </w:r>
          </w:p>
        </w:tc>
        <w:tc>
          <w:tcPr>
            <w:tcW w:w="585" w:type="dxa"/>
            <w:vAlign w:val="center"/>
          </w:tcPr>
          <w:p>
            <w:pPr>
              <w:pStyle w:val="19"/>
              <w:snapToGrid w:val="0"/>
              <w:jc w:val="center"/>
              <w:textAlignment w:val="baseline"/>
              <w:rPr>
                <w:rFonts w:hint="default" w:ascii="宋体" w:hAnsi="宋体" w:eastAsia="宋体" w:cs="宋体"/>
                <w:b w:val="0"/>
                <w:bCs/>
                <w:sz w:val="18"/>
                <w:szCs w:val="18"/>
                <w:lang w:val="en-US"/>
              </w:rPr>
            </w:pPr>
            <w:r>
              <w:rPr>
                <w:rFonts w:hint="eastAsia"/>
                <w:sz w:val="18"/>
                <w:szCs w:val="18"/>
                <w:lang w:eastAsia="zh-CN"/>
              </w:rPr>
              <w:t>32</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2</w:t>
            </w:r>
          </w:p>
        </w:tc>
        <w:tc>
          <w:tcPr>
            <w:tcW w:w="508" w:type="dxa"/>
            <w:vAlign w:val="center"/>
          </w:tcPr>
          <w:p>
            <w:pPr>
              <w:pStyle w:val="19"/>
              <w:snapToGrid w:val="0"/>
              <w:jc w:val="center"/>
              <w:textAlignment w:val="baseline"/>
              <w:rPr>
                <w:rFonts w:hint="default" w:ascii="宋体" w:hAnsi="宋体" w:eastAsia="宋体" w:cs="宋体"/>
                <w:b w:val="0"/>
                <w:bCs/>
                <w:sz w:val="18"/>
                <w:szCs w:val="18"/>
                <w:lang w:val="en-US" w:eastAsia="zh-CN"/>
              </w:rPr>
            </w:pPr>
          </w:p>
        </w:tc>
        <w:tc>
          <w:tcPr>
            <w:tcW w:w="542" w:type="dxa"/>
            <w:vAlign w:val="center"/>
          </w:tcPr>
          <w:p>
            <w:pPr>
              <w:pStyle w:val="19"/>
              <w:snapToGrid w:val="0"/>
              <w:jc w:val="center"/>
              <w:textAlignment w:val="baseline"/>
              <w:rPr>
                <w:rFonts w:hint="eastAsia" w:ascii="宋体" w:hAnsi="宋体" w:eastAsia="宋体" w:cs="宋体"/>
                <w:b w:val="0"/>
                <w:bCs/>
                <w:sz w:val="18"/>
                <w:szCs w:val="18"/>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0000011105</w:t>
            </w:r>
          </w:p>
        </w:tc>
        <w:tc>
          <w:tcPr>
            <w:tcW w:w="2504" w:type="dxa"/>
            <w:vAlign w:val="center"/>
          </w:tcPr>
          <w:p>
            <w:pPr>
              <w:pStyle w:val="19"/>
              <w:snapToGrid w:val="0"/>
              <w:jc w:val="center"/>
              <w:textAlignment w:val="baseline"/>
              <w:rPr>
                <w:rFonts w:hint="eastAsia" w:ascii="宋体" w:hAnsi="宋体" w:eastAsia="宋体" w:cs="宋体"/>
                <w:b w:val="0"/>
                <w:bCs/>
                <w:sz w:val="18"/>
                <w:szCs w:val="18"/>
                <w:lang w:eastAsia="zh-CN"/>
              </w:rPr>
            </w:pPr>
            <w:r>
              <w:rPr>
                <w:rFonts w:hint="eastAsia"/>
                <w:sz w:val="18"/>
                <w:szCs w:val="18"/>
                <w:lang w:eastAsia="zh-CN"/>
              </w:rPr>
              <w:t>应用文写作</w:t>
            </w:r>
          </w:p>
        </w:tc>
        <w:tc>
          <w:tcPr>
            <w:tcW w:w="646" w:type="dxa"/>
            <w:gridSpan w:val="2"/>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36</w:t>
            </w:r>
          </w:p>
        </w:tc>
        <w:tc>
          <w:tcPr>
            <w:tcW w:w="585" w:type="dxa"/>
            <w:vAlign w:val="center"/>
          </w:tcPr>
          <w:p>
            <w:pPr>
              <w:pStyle w:val="19"/>
              <w:snapToGrid w:val="0"/>
              <w:jc w:val="center"/>
              <w:textAlignment w:val="baseline"/>
              <w:rPr>
                <w:rFonts w:hint="default" w:ascii="宋体" w:hAnsi="宋体" w:eastAsia="宋体" w:cs="宋体"/>
                <w:b w:val="0"/>
                <w:bCs/>
                <w:sz w:val="18"/>
                <w:szCs w:val="18"/>
                <w:lang w:val="en-US"/>
              </w:rPr>
            </w:pPr>
            <w:r>
              <w:rPr>
                <w:rFonts w:hint="eastAsia"/>
                <w:sz w:val="18"/>
                <w:szCs w:val="18"/>
                <w:lang w:eastAsia="zh-CN"/>
              </w:rPr>
              <w:t>36</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default" w:ascii="宋体" w:hAnsi="宋体" w:eastAsia="宋体" w:cs="宋体"/>
                <w:b w:val="0"/>
                <w:bCs/>
                <w:sz w:val="18"/>
                <w:szCs w:val="18"/>
                <w:lang w:val="en-US" w:eastAsia="zh-CN"/>
              </w:rPr>
            </w:pPr>
          </w:p>
        </w:tc>
        <w:tc>
          <w:tcPr>
            <w:tcW w:w="508"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2</w:t>
            </w:r>
          </w:p>
        </w:tc>
        <w:tc>
          <w:tcPr>
            <w:tcW w:w="542" w:type="dxa"/>
            <w:vAlign w:val="center"/>
          </w:tcPr>
          <w:p>
            <w:pPr>
              <w:pStyle w:val="19"/>
              <w:snapToGrid w:val="0"/>
              <w:jc w:val="center"/>
              <w:textAlignment w:val="baseline"/>
              <w:rPr>
                <w:rFonts w:hint="eastAsia" w:ascii="宋体" w:hAnsi="宋体" w:eastAsia="宋体" w:cs="宋体"/>
                <w:b w:val="0"/>
                <w:bCs/>
                <w:sz w:val="18"/>
                <w:szCs w:val="18"/>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0000011111</w:t>
            </w:r>
          </w:p>
        </w:tc>
        <w:tc>
          <w:tcPr>
            <w:tcW w:w="2504"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计算机应用基础</w:t>
            </w:r>
          </w:p>
        </w:tc>
        <w:tc>
          <w:tcPr>
            <w:tcW w:w="646" w:type="dxa"/>
            <w:gridSpan w:val="2"/>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b w:val="0"/>
                <w:bCs/>
                <w:i w:val="0"/>
                <w:color w:val="000000"/>
                <w:kern w:val="0"/>
                <w:sz w:val="18"/>
                <w:szCs w:val="18"/>
                <w:u w:val="none"/>
                <w:lang w:val="en-US" w:eastAsia="zh-CN" w:bidi="ar"/>
              </w:rPr>
            </w:pPr>
            <w:r>
              <w:rPr>
                <w:rFonts w:hint="eastAsia"/>
                <w:sz w:val="18"/>
                <w:szCs w:val="18"/>
                <w:lang w:eastAsia="zh-CN"/>
              </w:rPr>
              <w:t>36</w:t>
            </w:r>
          </w:p>
        </w:tc>
        <w:tc>
          <w:tcPr>
            <w:tcW w:w="585" w:type="dxa"/>
            <w:vAlign w:val="center"/>
          </w:tcPr>
          <w:p>
            <w:pPr>
              <w:pStyle w:val="19"/>
              <w:snapToGrid w:val="0"/>
              <w:jc w:val="center"/>
              <w:textAlignment w:val="baseline"/>
              <w:rPr>
                <w:rFonts w:hint="default" w:ascii="宋体" w:hAnsi="宋体" w:eastAsia="宋体" w:cs="宋体"/>
                <w:b w:val="0"/>
                <w:bCs/>
                <w:sz w:val="18"/>
                <w:szCs w:val="18"/>
                <w:lang w:val="en-US"/>
              </w:rPr>
            </w:pPr>
            <w:r>
              <w:rPr>
                <w:rFonts w:hint="eastAsia"/>
                <w:sz w:val="18"/>
                <w:szCs w:val="18"/>
                <w:lang w:eastAsia="zh-CN"/>
              </w:rPr>
              <w:t>36</w:t>
            </w:r>
          </w:p>
        </w:tc>
        <w:tc>
          <w:tcPr>
            <w:tcW w:w="565" w:type="dxa"/>
            <w:vAlign w:val="center"/>
          </w:tcPr>
          <w:p>
            <w:pPr>
              <w:pStyle w:val="19"/>
              <w:snapToGrid w:val="0"/>
              <w:jc w:val="center"/>
              <w:textAlignment w:val="baseline"/>
              <w:rPr>
                <w:rFonts w:hint="default"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2</w:t>
            </w:r>
          </w:p>
        </w:tc>
        <w:tc>
          <w:tcPr>
            <w:tcW w:w="508" w:type="dxa"/>
            <w:vAlign w:val="center"/>
          </w:tcPr>
          <w:p>
            <w:pPr>
              <w:pStyle w:val="19"/>
              <w:snapToGrid w:val="0"/>
              <w:jc w:val="center"/>
              <w:textAlignment w:val="baseline"/>
              <w:rPr>
                <w:rFonts w:hint="default" w:ascii="宋体" w:hAnsi="宋体" w:eastAsia="宋体" w:cs="宋体"/>
                <w:b w:val="0"/>
                <w:bCs/>
                <w:sz w:val="18"/>
                <w:szCs w:val="18"/>
                <w:lang w:val="en-US" w:eastAsia="zh-CN"/>
              </w:rPr>
            </w:pPr>
          </w:p>
        </w:tc>
        <w:tc>
          <w:tcPr>
            <w:tcW w:w="542" w:type="dxa"/>
            <w:vAlign w:val="center"/>
          </w:tcPr>
          <w:p>
            <w:pPr>
              <w:pStyle w:val="19"/>
              <w:snapToGrid w:val="0"/>
              <w:jc w:val="center"/>
              <w:textAlignment w:val="baseline"/>
              <w:rPr>
                <w:rFonts w:hint="eastAsia" w:ascii="宋体" w:hAnsi="宋体" w:eastAsia="宋体" w:cs="宋体"/>
                <w:b w:val="0"/>
                <w:bCs/>
                <w:sz w:val="18"/>
                <w:szCs w:val="18"/>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0000011116</w:t>
            </w:r>
          </w:p>
        </w:tc>
        <w:tc>
          <w:tcPr>
            <w:tcW w:w="2504" w:type="dxa"/>
            <w:vAlign w:val="center"/>
          </w:tcPr>
          <w:p>
            <w:pPr>
              <w:pStyle w:val="19"/>
              <w:snapToGrid w:val="0"/>
              <w:jc w:val="center"/>
              <w:textAlignment w:val="baseline"/>
              <w:rPr>
                <w:rFonts w:hint="eastAsia" w:ascii="宋体" w:hAnsi="宋体" w:eastAsia="宋体" w:cs="宋体"/>
                <w:b w:val="0"/>
                <w:bCs/>
                <w:sz w:val="18"/>
                <w:szCs w:val="18"/>
                <w:lang w:val="en-US"/>
              </w:rPr>
            </w:pPr>
            <w:r>
              <w:rPr>
                <w:rFonts w:hint="eastAsia"/>
                <w:sz w:val="18"/>
                <w:szCs w:val="18"/>
                <w:lang w:eastAsia="zh-CN"/>
              </w:rPr>
              <w:t>人工智能</w:t>
            </w:r>
          </w:p>
        </w:tc>
        <w:tc>
          <w:tcPr>
            <w:tcW w:w="646" w:type="dxa"/>
            <w:gridSpan w:val="2"/>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b w:val="0"/>
                <w:bCs/>
                <w:sz w:val="18"/>
                <w:szCs w:val="18"/>
                <w:lang w:val="en-US"/>
              </w:rPr>
            </w:pPr>
            <w:r>
              <w:rPr>
                <w:rFonts w:hint="eastAsia"/>
                <w:sz w:val="18"/>
                <w:szCs w:val="18"/>
                <w:lang w:eastAsia="zh-CN"/>
              </w:rPr>
              <w:t>36</w:t>
            </w:r>
          </w:p>
        </w:tc>
        <w:tc>
          <w:tcPr>
            <w:tcW w:w="585" w:type="dxa"/>
            <w:vAlign w:val="center"/>
          </w:tcPr>
          <w:p>
            <w:pPr>
              <w:pStyle w:val="19"/>
              <w:snapToGrid w:val="0"/>
              <w:jc w:val="center"/>
              <w:textAlignment w:val="baseline"/>
              <w:rPr>
                <w:rFonts w:hint="default" w:ascii="宋体" w:hAnsi="宋体" w:eastAsia="宋体" w:cs="宋体"/>
                <w:b w:val="0"/>
                <w:bCs/>
                <w:sz w:val="18"/>
                <w:szCs w:val="18"/>
                <w:lang w:val="en-US"/>
              </w:rPr>
            </w:pPr>
            <w:r>
              <w:rPr>
                <w:rFonts w:hint="eastAsia"/>
                <w:sz w:val="18"/>
                <w:szCs w:val="18"/>
                <w:lang w:eastAsia="zh-CN"/>
              </w:rPr>
              <w:t>36</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default" w:ascii="宋体" w:hAnsi="宋体" w:eastAsia="宋体" w:cs="宋体"/>
                <w:b w:val="0"/>
                <w:bCs/>
                <w:sz w:val="18"/>
                <w:szCs w:val="18"/>
                <w:lang w:val="en-US" w:eastAsia="zh-CN"/>
              </w:rPr>
            </w:pPr>
          </w:p>
        </w:tc>
        <w:tc>
          <w:tcPr>
            <w:tcW w:w="508"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2</w:t>
            </w: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0000011117</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大学体育1（形势与政策1）</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24</w:t>
            </w:r>
          </w:p>
        </w:tc>
        <w:tc>
          <w:tcPr>
            <w:tcW w:w="585" w:type="dxa"/>
            <w:vAlign w:val="center"/>
          </w:tcPr>
          <w:p>
            <w:pPr>
              <w:pStyle w:val="19"/>
              <w:snapToGrid w:val="0"/>
              <w:jc w:val="center"/>
              <w:textAlignment w:val="baseline"/>
              <w:rPr>
                <w:rFonts w:hint="eastAsia" w:ascii="宋体" w:hAnsi="宋体" w:eastAsia="宋体" w:cs="宋体"/>
                <w:b w:val="0"/>
                <w:bCs/>
                <w:sz w:val="18"/>
                <w:szCs w:val="18"/>
              </w:rPr>
            </w:pPr>
          </w:p>
        </w:tc>
        <w:tc>
          <w:tcPr>
            <w:tcW w:w="565" w:type="dxa"/>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24</w:t>
            </w: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w:t>
            </w:r>
          </w:p>
        </w:tc>
        <w:tc>
          <w:tcPr>
            <w:tcW w:w="1512" w:type="dxa"/>
            <w:vAlign w:val="center"/>
          </w:tcPr>
          <w:p>
            <w:pPr>
              <w:pStyle w:val="19"/>
              <w:snapToGrid w:val="0"/>
              <w:jc w:val="center"/>
              <w:textAlignment w:val="baseline"/>
              <w:rPr>
                <w:rFonts w:hint="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0000011118</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大学体育2（形势与政策2）</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28</w:t>
            </w:r>
          </w:p>
        </w:tc>
        <w:tc>
          <w:tcPr>
            <w:tcW w:w="58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5" w:type="dxa"/>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28</w:t>
            </w: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w:t>
            </w:r>
          </w:p>
        </w:tc>
        <w:tc>
          <w:tcPr>
            <w:tcW w:w="1512" w:type="dxa"/>
            <w:vAlign w:val="center"/>
          </w:tcPr>
          <w:p>
            <w:pPr>
              <w:pStyle w:val="19"/>
              <w:snapToGrid w:val="0"/>
              <w:jc w:val="center"/>
              <w:textAlignment w:val="baseline"/>
              <w:rPr>
                <w:rFonts w:hint="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0000011119</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大学体育3（形势与政策3）</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28</w:t>
            </w:r>
          </w:p>
        </w:tc>
        <w:tc>
          <w:tcPr>
            <w:tcW w:w="585" w:type="dxa"/>
            <w:vAlign w:val="center"/>
          </w:tcPr>
          <w:p>
            <w:pPr>
              <w:pStyle w:val="19"/>
              <w:snapToGrid w:val="0"/>
              <w:jc w:val="center"/>
              <w:textAlignment w:val="baseline"/>
              <w:rPr>
                <w:rFonts w:hint="eastAsia" w:ascii="宋体" w:hAnsi="宋体" w:eastAsia="宋体" w:cs="宋体"/>
                <w:b w:val="0"/>
                <w:bCs/>
                <w:sz w:val="18"/>
                <w:szCs w:val="18"/>
              </w:rPr>
            </w:pPr>
          </w:p>
        </w:tc>
        <w:tc>
          <w:tcPr>
            <w:tcW w:w="565" w:type="dxa"/>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28</w:t>
            </w: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2</w:t>
            </w: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w:t>
            </w:r>
          </w:p>
        </w:tc>
        <w:tc>
          <w:tcPr>
            <w:tcW w:w="1512" w:type="dxa"/>
            <w:vAlign w:val="center"/>
          </w:tcPr>
          <w:p>
            <w:pPr>
              <w:pStyle w:val="19"/>
              <w:snapToGrid w:val="0"/>
              <w:jc w:val="center"/>
              <w:textAlignment w:val="baseline"/>
              <w:rPr>
                <w:rFonts w:hint="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0000011120</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大学体育4（形势与政策4）</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28</w:t>
            </w:r>
          </w:p>
        </w:tc>
        <w:tc>
          <w:tcPr>
            <w:tcW w:w="585" w:type="dxa"/>
            <w:vAlign w:val="center"/>
          </w:tcPr>
          <w:p>
            <w:pPr>
              <w:pStyle w:val="19"/>
              <w:snapToGrid w:val="0"/>
              <w:jc w:val="center"/>
              <w:textAlignment w:val="baseline"/>
              <w:rPr>
                <w:rFonts w:hint="eastAsia" w:ascii="宋体" w:hAnsi="宋体" w:eastAsia="宋体" w:cs="宋体"/>
                <w:b w:val="0"/>
                <w:bCs/>
                <w:sz w:val="18"/>
                <w:szCs w:val="18"/>
              </w:rPr>
            </w:pPr>
          </w:p>
        </w:tc>
        <w:tc>
          <w:tcPr>
            <w:tcW w:w="565" w:type="dxa"/>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28</w:t>
            </w: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2</w:t>
            </w: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w:t>
            </w:r>
          </w:p>
        </w:tc>
        <w:tc>
          <w:tcPr>
            <w:tcW w:w="1512" w:type="dxa"/>
            <w:vAlign w:val="center"/>
          </w:tcPr>
          <w:p>
            <w:pPr>
              <w:pStyle w:val="19"/>
              <w:snapToGrid w:val="0"/>
              <w:jc w:val="center"/>
              <w:textAlignment w:val="baseline"/>
              <w:rPr>
                <w:rFonts w:hint="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0000021104</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形势与政策1（大学体育1）</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0.25</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8</w:t>
            </w:r>
          </w:p>
        </w:tc>
        <w:tc>
          <w:tcPr>
            <w:tcW w:w="585"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8</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四周</w:t>
            </w: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0000021105</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形势与政策2（大学体育2）</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0.25</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8</w:t>
            </w:r>
          </w:p>
        </w:tc>
        <w:tc>
          <w:tcPr>
            <w:tcW w:w="585"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8</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四周</w:t>
            </w: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0000021106</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形势与政策3（大学体育3）</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0.25</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8</w:t>
            </w:r>
          </w:p>
        </w:tc>
        <w:tc>
          <w:tcPr>
            <w:tcW w:w="585"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8</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四周</w:t>
            </w: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0000021107</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形势与政策4（大学体育4）</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0.25</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8</w:t>
            </w:r>
          </w:p>
        </w:tc>
        <w:tc>
          <w:tcPr>
            <w:tcW w:w="585" w:type="dxa"/>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8</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r>
              <w:rPr>
                <w:rFonts w:hint="eastAsia"/>
                <w:sz w:val="18"/>
                <w:szCs w:val="18"/>
                <w:lang w:eastAsia="zh-CN"/>
              </w:rPr>
              <w:t>四周</w:t>
            </w: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0000021108</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毛泽东思想和中国特色社会主义理论系概论1</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32</w:t>
            </w:r>
          </w:p>
        </w:tc>
        <w:tc>
          <w:tcPr>
            <w:tcW w:w="585" w:type="dxa"/>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32</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宋体" w:hAnsi="宋体" w:eastAsia="宋体" w:cs="宋体"/>
                <w:b w:val="0"/>
                <w:bCs/>
                <w:i w:val="0"/>
                <w:color w:val="000000"/>
                <w:kern w:val="0"/>
                <w:sz w:val="18"/>
                <w:szCs w:val="18"/>
                <w:u w:val="none"/>
                <w:lang w:val="en-US" w:eastAsia="zh-CN" w:bidi="ar"/>
              </w:rPr>
            </w:pPr>
            <w:r>
              <w:rPr>
                <w:rFonts w:hint="eastAsia"/>
                <w:sz w:val="18"/>
                <w:szCs w:val="18"/>
                <w:lang w:eastAsia="zh-CN"/>
              </w:rPr>
              <w:t>0000021109</w:t>
            </w:r>
          </w:p>
        </w:tc>
        <w:tc>
          <w:tcPr>
            <w:tcW w:w="2504"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毛泽东思想和中国特色社会主义理论体系概论2</w:t>
            </w:r>
          </w:p>
        </w:tc>
        <w:tc>
          <w:tcPr>
            <w:tcW w:w="646"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宋体" w:hAnsi="宋体" w:eastAsia="宋体" w:cs="宋体"/>
                <w:i w:val="0"/>
                <w:iCs w:val="0"/>
                <w:color w:val="000000"/>
                <w:kern w:val="0"/>
                <w:sz w:val="18"/>
                <w:szCs w:val="18"/>
                <w:u w:val="none"/>
                <w:lang w:val="en-US" w:eastAsia="zh-CN" w:bidi="ar"/>
              </w:rPr>
            </w:pPr>
            <w:r>
              <w:rPr>
                <w:rFonts w:hint="eastAsia"/>
                <w:sz w:val="18"/>
                <w:szCs w:val="18"/>
                <w:lang w:eastAsia="zh-CN"/>
              </w:rPr>
              <w:t>36</w:t>
            </w:r>
          </w:p>
        </w:tc>
        <w:tc>
          <w:tcPr>
            <w:tcW w:w="585" w:type="dxa"/>
            <w:vAlign w:val="center"/>
          </w:tcPr>
          <w:p>
            <w:pPr>
              <w:pStyle w:val="19"/>
              <w:snapToGrid w:val="0"/>
              <w:jc w:val="center"/>
              <w:textAlignment w:val="baseline"/>
              <w:rPr>
                <w:rFonts w:hint="default" w:ascii="宋体" w:hAnsi="宋体" w:eastAsia="宋体" w:cs="宋体"/>
                <w:b w:val="0"/>
                <w:bCs/>
                <w:sz w:val="18"/>
                <w:szCs w:val="18"/>
                <w:lang w:val="en-US" w:eastAsia="zh-CN"/>
              </w:rPr>
            </w:pPr>
            <w:r>
              <w:rPr>
                <w:rFonts w:hint="eastAsia"/>
                <w:sz w:val="18"/>
                <w:szCs w:val="18"/>
                <w:lang w:eastAsia="zh-CN"/>
              </w:rPr>
              <w:t>36</w:t>
            </w:r>
          </w:p>
        </w:tc>
        <w:tc>
          <w:tcPr>
            <w:tcW w:w="565"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635"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2</w:t>
            </w:r>
          </w:p>
        </w:tc>
        <w:tc>
          <w:tcPr>
            <w:tcW w:w="542" w:type="dxa"/>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vAlign w:val="center"/>
          </w:tcPr>
          <w:p>
            <w:pPr>
              <w:pStyle w:val="19"/>
              <w:snapToGrid w:val="0"/>
              <w:jc w:val="center"/>
              <w:textAlignment w:val="baseline"/>
              <w:rPr>
                <w:rFonts w:hint="eastAsia" w:ascii="宋体" w:hAnsi="宋体" w:eastAsia="宋体" w:cs="宋体"/>
                <w:b w:val="0"/>
                <w:bCs/>
                <w:sz w:val="18"/>
                <w:szCs w:val="18"/>
              </w:rPr>
            </w:pPr>
          </w:p>
        </w:tc>
        <w:tc>
          <w:tcPr>
            <w:tcW w:w="588" w:type="dxa"/>
            <w:vAlign w:val="center"/>
          </w:tcPr>
          <w:p>
            <w:pPr>
              <w:pStyle w:val="19"/>
              <w:snapToGrid w:val="0"/>
              <w:jc w:val="center"/>
              <w:textAlignment w:val="baseline"/>
              <w:rPr>
                <w:rFonts w:hint="eastAsia" w:ascii="宋体" w:hAnsi="宋体" w:eastAsia="宋体" w:cs="宋体"/>
                <w:b w:val="0"/>
                <w:bCs/>
                <w:sz w:val="18"/>
                <w:szCs w:val="18"/>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r>
              <w:rPr>
                <w:rFonts w:hint="eastAsia"/>
                <w:sz w:val="18"/>
                <w:szCs w:val="18"/>
                <w:lang w:eastAsia="zh-CN"/>
              </w:rPr>
              <w:t>★</w:t>
            </w:r>
          </w:p>
        </w:tc>
        <w:tc>
          <w:tcPr>
            <w:tcW w:w="1512" w:type="dxa"/>
            <w:vAlign w:val="center"/>
          </w:tcPr>
          <w:p>
            <w:pPr>
              <w:pStyle w:val="19"/>
              <w:snapToGrid w:val="0"/>
              <w:jc w:val="center"/>
              <w:textAlignment w:val="baseline"/>
              <w:rPr>
                <w:rFonts w:hint="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0000021102</w:t>
            </w:r>
          </w:p>
        </w:tc>
        <w:tc>
          <w:tcPr>
            <w:tcW w:w="2504" w:type="dxa"/>
            <w:vAlign w:val="center"/>
          </w:tcPr>
          <w:p>
            <w:pPr>
              <w:pStyle w:val="19"/>
              <w:snapToGrid w:val="0"/>
              <w:jc w:val="center"/>
              <w:textAlignment w:val="baseline"/>
              <w:rPr>
                <w:rFonts w:hint="eastAsia" w:ascii="Times New Roman"/>
                <w:color w:val="FF0000"/>
                <w:sz w:val="18"/>
                <w:szCs w:val="20"/>
                <w:lang w:eastAsia="zh-CN"/>
              </w:rPr>
            </w:pPr>
            <w:r>
              <w:rPr>
                <w:rFonts w:hint="eastAsia"/>
                <w:sz w:val="18"/>
                <w:szCs w:val="18"/>
                <w:lang w:eastAsia="zh-CN"/>
              </w:rPr>
              <w:t>思想道德修养与法律基础</w:t>
            </w:r>
          </w:p>
        </w:tc>
        <w:tc>
          <w:tcPr>
            <w:tcW w:w="646" w:type="dxa"/>
            <w:gridSpan w:val="2"/>
            <w:vAlign w:val="center"/>
          </w:tcPr>
          <w:p>
            <w:pPr>
              <w:pStyle w:val="19"/>
              <w:snapToGrid w:val="0"/>
              <w:jc w:val="center"/>
              <w:textAlignment w:val="baseline"/>
              <w:rPr>
                <w:rFonts w:hint="default" w:ascii="Times New Roman"/>
                <w:color w:val="FF0000"/>
                <w:sz w:val="18"/>
                <w:szCs w:val="20"/>
                <w:lang w:val="en-US" w:eastAsia="zh-CN"/>
              </w:rPr>
            </w:pPr>
            <w:r>
              <w:rPr>
                <w:rFonts w:hint="eastAsia"/>
                <w:sz w:val="18"/>
                <w:szCs w:val="18"/>
                <w:lang w:eastAsia="zh-CN"/>
              </w:rPr>
              <w:t>3</w:t>
            </w:r>
          </w:p>
        </w:tc>
        <w:tc>
          <w:tcPr>
            <w:tcW w:w="615" w:type="dxa"/>
            <w:gridSpan w:val="2"/>
            <w:vAlign w:val="center"/>
          </w:tcPr>
          <w:p>
            <w:pPr>
              <w:pStyle w:val="19"/>
              <w:snapToGrid w:val="0"/>
              <w:jc w:val="center"/>
              <w:textAlignment w:val="baseline"/>
              <w:rPr>
                <w:rFonts w:hint="default" w:ascii="Times New Roman"/>
                <w:color w:val="FF0000"/>
                <w:sz w:val="18"/>
                <w:szCs w:val="20"/>
                <w:lang w:val="en-US" w:eastAsia="zh-CN"/>
              </w:rPr>
            </w:pPr>
            <w:r>
              <w:rPr>
                <w:rFonts w:hint="eastAsia"/>
                <w:sz w:val="18"/>
                <w:szCs w:val="18"/>
                <w:lang w:eastAsia="zh-CN"/>
              </w:rPr>
              <w:t>48</w:t>
            </w:r>
          </w:p>
        </w:tc>
        <w:tc>
          <w:tcPr>
            <w:tcW w:w="585" w:type="dxa"/>
            <w:vAlign w:val="center"/>
          </w:tcPr>
          <w:p>
            <w:pPr>
              <w:pStyle w:val="19"/>
              <w:snapToGrid w:val="0"/>
              <w:jc w:val="center"/>
              <w:textAlignment w:val="baseline"/>
              <w:rPr>
                <w:rFonts w:hint="default" w:ascii="Times New Roman"/>
                <w:color w:val="FF0000"/>
                <w:sz w:val="18"/>
                <w:szCs w:val="20"/>
                <w:lang w:val="en-US" w:eastAsia="zh-CN"/>
              </w:rPr>
            </w:pPr>
            <w:r>
              <w:rPr>
                <w:rFonts w:hint="eastAsia"/>
                <w:sz w:val="18"/>
                <w:szCs w:val="18"/>
                <w:lang w:eastAsia="zh-CN"/>
              </w:rPr>
              <w:t>32</w:t>
            </w:r>
          </w:p>
        </w:tc>
        <w:tc>
          <w:tcPr>
            <w:tcW w:w="565" w:type="dxa"/>
            <w:vAlign w:val="center"/>
          </w:tcPr>
          <w:p>
            <w:pPr>
              <w:pStyle w:val="19"/>
              <w:snapToGrid w:val="0"/>
              <w:jc w:val="center"/>
              <w:textAlignment w:val="baseline"/>
              <w:rPr>
                <w:rFonts w:hint="default" w:ascii="Times New Roman"/>
                <w:sz w:val="18"/>
                <w:szCs w:val="20"/>
                <w:lang w:val="en-US" w:eastAsia="zh-CN"/>
              </w:rPr>
            </w:pPr>
            <w:r>
              <w:rPr>
                <w:rFonts w:hint="eastAsia"/>
                <w:sz w:val="18"/>
                <w:szCs w:val="18"/>
                <w:lang w:eastAsia="zh-CN"/>
              </w:rPr>
              <w:t>16</w:t>
            </w:r>
          </w:p>
        </w:tc>
        <w:tc>
          <w:tcPr>
            <w:tcW w:w="635" w:type="dxa"/>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2</w:t>
            </w:r>
          </w:p>
        </w:tc>
        <w:tc>
          <w:tcPr>
            <w:tcW w:w="508" w:type="dxa"/>
            <w:vAlign w:val="center"/>
          </w:tcPr>
          <w:p>
            <w:pPr>
              <w:pStyle w:val="19"/>
              <w:snapToGrid w:val="0"/>
              <w:jc w:val="center"/>
              <w:textAlignment w:val="baseline"/>
              <w:rPr>
                <w:rFonts w:hint="default" w:ascii="Times New Roman"/>
                <w:sz w:val="18"/>
                <w:szCs w:val="20"/>
                <w:lang w:val="en-US" w:eastAsia="zh-CN"/>
              </w:rPr>
            </w:pPr>
          </w:p>
        </w:tc>
        <w:tc>
          <w:tcPr>
            <w:tcW w:w="542" w:type="dxa"/>
            <w:vAlign w:val="center"/>
          </w:tcPr>
          <w:p>
            <w:pPr>
              <w:pStyle w:val="19"/>
              <w:snapToGrid w:val="0"/>
              <w:jc w:val="center"/>
              <w:textAlignment w:val="baseline"/>
              <w:rPr>
                <w:rFonts w:hint="eastAsia" w:ascii="Times New Roman"/>
                <w:sz w:val="18"/>
                <w:szCs w:val="20"/>
                <w:lang w:eastAsia="zh-CN"/>
              </w:rPr>
            </w:pPr>
          </w:p>
        </w:tc>
        <w:tc>
          <w:tcPr>
            <w:tcW w:w="496" w:type="dxa"/>
            <w:gridSpan w:val="2"/>
            <w:vAlign w:val="center"/>
          </w:tcPr>
          <w:p>
            <w:pPr>
              <w:pStyle w:val="19"/>
              <w:snapToGrid w:val="0"/>
              <w:jc w:val="center"/>
              <w:textAlignment w:val="baseline"/>
              <w:rPr>
                <w:rFonts w:hint="eastAsia" w:ascii="Times New Roman"/>
                <w:sz w:val="18"/>
                <w:szCs w:val="20"/>
                <w:lang w:eastAsia="zh-CN"/>
              </w:rPr>
            </w:pPr>
          </w:p>
        </w:tc>
        <w:tc>
          <w:tcPr>
            <w:tcW w:w="566" w:type="dxa"/>
            <w:vAlign w:val="center"/>
          </w:tcPr>
          <w:p>
            <w:pPr>
              <w:pStyle w:val="19"/>
              <w:snapToGrid w:val="0"/>
              <w:jc w:val="center"/>
              <w:textAlignment w:val="baseline"/>
              <w:rPr>
                <w:rFonts w:hint="eastAsia" w:ascii="Times New Roman"/>
                <w:sz w:val="18"/>
                <w:szCs w:val="20"/>
                <w:lang w:eastAsia="zh-CN"/>
              </w:rPr>
            </w:pPr>
          </w:p>
        </w:tc>
        <w:tc>
          <w:tcPr>
            <w:tcW w:w="588" w:type="dxa"/>
            <w:vAlign w:val="center"/>
          </w:tcPr>
          <w:p>
            <w:pPr>
              <w:pStyle w:val="19"/>
              <w:snapToGrid w:val="0"/>
              <w:jc w:val="center"/>
              <w:textAlignment w:val="baseline"/>
              <w:rPr>
                <w:rFonts w:hint="eastAsia" w:ascii="Times New Roman"/>
                <w:sz w:val="18"/>
                <w:szCs w:val="20"/>
                <w:lang w:eastAsia="zh-CN"/>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0000011109</w:t>
            </w:r>
          </w:p>
        </w:tc>
        <w:tc>
          <w:tcPr>
            <w:tcW w:w="2504" w:type="dxa"/>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心理健康</w:t>
            </w:r>
          </w:p>
        </w:tc>
        <w:tc>
          <w:tcPr>
            <w:tcW w:w="646" w:type="dxa"/>
            <w:gridSpan w:val="2"/>
            <w:vAlign w:val="center"/>
          </w:tcPr>
          <w:p>
            <w:pPr>
              <w:pStyle w:val="19"/>
              <w:snapToGrid w:val="0"/>
              <w:jc w:val="center"/>
              <w:textAlignment w:val="baseline"/>
              <w:rPr>
                <w:rFonts w:hint="default" w:ascii="Times New Roman" w:eastAsia="宋体"/>
                <w:sz w:val="18"/>
                <w:szCs w:val="20"/>
                <w:lang w:val="en-US" w:eastAsia="zh-CN"/>
              </w:rPr>
            </w:pPr>
            <w:r>
              <w:rPr>
                <w:rFonts w:hint="eastAsia"/>
                <w:sz w:val="18"/>
                <w:szCs w:val="18"/>
                <w:lang w:eastAsia="zh-CN"/>
              </w:rPr>
              <w:t>2</w:t>
            </w:r>
          </w:p>
        </w:tc>
        <w:tc>
          <w:tcPr>
            <w:tcW w:w="615" w:type="dxa"/>
            <w:gridSpan w:val="2"/>
            <w:vAlign w:val="center"/>
          </w:tcPr>
          <w:p>
            <w:pPr>
              <w:pStyle w:val="19"/>
              <w:snapToGrid w:val="0"/>
              <w:jc w:val="center"/>
              <w:textAlignment w:val="baseline"/>
              <w:rPr>
                <w:rFonts w:hint="default" w:ascii="Times New Roman" w:eastAsia="宋体"/>
                <w:sz w:val="18"/>
                <w:szCs w:val="20"/>
                <w:lang w:val="en-US" w:eastAsia="zh-CN"/>
              </w:rPr>
            </w:pPr>
            <w:r>
              <w:rPr>
                <w:rFonts w:hint="eastAsia"/>
                <w:sz w:val="18"/>
                <w:szCs w:val="18"/>
                <w:lang w:eastAsia="zh-CN"/>
              </w:rPr>
              <w:t>36</w:t>
            </w:r>
          </w:p>
        </w:tc>
        <w:tc>
          <w:tcPr>
            <w:tcW w:w="585" w:type="dxa"/>
            <w:vAlign w:val="center"/>
          </w:tcPr>
          <w:p>
            <w:pPr>
              <w:pStyle w:val="19"/>
              <w:snapToGrid w:val="0"/>
              <w:jc w:val="center"/>
              <w:textAlignment w:val="baseline"/>
              <w:rPr>
                <w:rFonts w:hint="default" w:ascii="Times New Roman" w:eastAsia="宋体"/>
                <w:sz w:val="18"/>
                <w:szCs w:val="20"/>
                <w:lang w:val="en-US" w:eastAsia="zh-CN"/>
              </w:rPr>
            </w:pPr>
            <w:r>
              <w:rPr>
                <w:rFonts w:hint="eastAsia"/>
                <w:sz w:val="18"/>
                <w:szCs w:val="18"/>
                <w:lang w:eastAsia="zh-CN"/>
              </w:rPr>
              <w:t>36</w:t>
            </w:r>
          </w:p>
        </w:tc>
        <w:tc>
          <w:tcPr>
            <w:tcW w:w="565" w:type="dxa"/>
            <w:vAlign w:val="center"/>
          </w:tcPr>
          <w:p>
            <w:pPr>
              <w:pStyle w:val="19"/>
              <w:snapToGrid w:val="0"/>
              <w:jc w:val="center"/>
              <w:textAlignment w:val="baseline"/>
              <w:rPr>
                <w:rFonts w:hint="eastAsia" w:ascii="Times New Roman" w:eastAsia="宋体"/>
                <w:sz w:val="18"/>
                <w:szCs w:val="20"/>
                <w:lang w:val="en-US" w:eastAsia="zh-CN"/>
              </w:rPr>
            </w:pPr>
          </w:p>
        </w:tc>
        <w:tc>
          <w:tcPr>
            <w:tcW w:w="635" w:type="dxa"/>
            <w:vAlign w:val="center"/>
          </w:tcPr>
          <w:p>
            <w:pPr>
              <w:pStyle w:val="19"/>
              <w:snapToGrid w:val="0"/>
              <w:jc w:val="center"/>
              <w:textAlignment w:val="baseline"/>
              <w:rPr>
                <w:rFonts w:hint="eastAsia" w:ascii="Times New Roman" w:eastAsia="宋体"/>
                <w:sz w:val="18"/>
                <w:szCs w:val="20"/>
                <w:lang w:val="en-US" w:eastAsia="zh-CN"/>
              </w:rPr>
            </w:pPr>
          </w:p>
        </w:tc>
        <w:tc>
          <w:tcPr>
            <w:tcW w:w="508" w:type="dxa"/>
            <w:vAlign w:val="center"/>
          </w:tcPr>
          <w:p>
            <w:pPr>
              <w:pStyle w:val="19"/>
              <w:snapToGrid w:val="0"/>
              <w:jc w:val="center"/>
              <w:textAlignment w:val="baseline"/>
              <w:rPr>
                <w:rFonts w:hint="eastAsia" w:ascii="Times New Roman"/>
                <w:sz w:val="18"/>
                <w:szCs w:val="20"/>
                <w:lang w:val="en-US" w:eastAsia="en-US"/>
              </w:rPr>
            </w:pPr>
          </w:p>
        </w:tc>
        <w:tc>
          <w:tcPr>
            <w:tcW w:w="542" w:type="dxa"/>
            <w:vAlign w:val="center"/>
          </w:tcPr>
          <w:p>
            <w:pPr>
              <w:pStyle w:val="19"/>
              <w:snapToGrid w:val="0"/>
              <w:jc w:val="center"/>
              <w:textAlignment w:val="baseline"/>
              <w:rPr>
                <w:rFonts w:hint="eastAsia" w:ascii="Times New Roman"/>
                <w:sz w:val="18"/>
                <w:szCs w:val="20"/>
                <w:lang w:val="en-US" w:eastAsia="en-US"/>
              </w:rPr>
            </w:pPr>
          </w:p>
        </w:tc>
        <w:tc>
          <w:tcPr>
            <w:tcW w:w="496" w:type="dxa"/>
            <w:gridSpan w:val="2"/>
            <w:vAlign w:val="center"/>
          </w:tcPr>
          <w:p>
            <w:pPr>
              <w:pStyle w:val="19"/>
              <w:snapToGrid w:val="0"/>
              <w:jc w:val="center"/>
              <w:textAlignment w:val="baseline"/>
              <w:rPr>
                <w:rFonts w:hint="eastAsia" w:ascii="Times New Roman"/>
                <w:sz w:val="18"/>
                <w:szCs w:val="20"/>
                <w:lang w:val="en-US" w:eastAsia="en-US"/>
              </w:rPr>
            </w:pPr>
          </w:p>
        </w:tc>
        <w:tc>
          <w:tcPr>
            <w:tcW w:w="566" w:type="dxa"/>
            <w:vAlign w:val="center"/>
          </w:tcPr>
          <w:p>
            <w:pPr>
              <w:pStyle w:val="19"/>
              <w:snapToGrid w:val="0"/>
              <w:jc w:val="center"/>
              <w:textAlignment w:val="baseline"/>
              <w:rPr>
                <w:rFonts w:hint="eastAsia" w:ascii="Times New Roman"/>
                <w:sz w:val="18"/>
                <w:szCs w:val="20"/>
                <w:lang w:val="en-US" w:eastAsia="en-US"/>
              </w:rPr>
            </w:pPr>
          </w:p>
        </w:tc>
        <w:tc>
          <w:tcPr>
            <w:tcW w:w="588" w:type="dxa"/>
            <w:vAlign w:val="center"/>
          </w:tcPr>
          <w:p>
            <w:pPr>
              <w:pStyle w:val="19"/>
              <w:snapToGrid w:val="0"/>
              <w:jc w:val="center"/>
              <w:textAlignment w:val="baseline"/>
              <w:rPr>
                <w:rFonts w:hint="eastAsia" w:ascii="Times New Roman"/>
                <w:sz w:val="18"/>
                <w:szCs w:val="20"/>
                <w:lang w:val="en-US" w:eastAsia="en-US"/>
              </w:rPr>
            </w:pPr>
          </w:p>
        </w:tc>
        <w:tc>
          <w:tcPr>
            <w:tcW w:w="935" w:type="dxa"/>
            <w:vAlign w:val="center"/>
          </w:tcPr>
          <w:p>
            <w:pPr>
              <w:pStyle w:val="19"/>
              <w:snapToGrid w:val="0"/>
              <w:jc w:val="center"/>
              <w:textAlignment w:val="baseline"/>
              <w:rPr>
                <w:rFonts w:hint="eastAsia" w:ascii="宋体" w:hAnsi="宋体" w:eastAsia="宋体" w:cs="宋体"/>
                <w:sz w:val="18"/>
                <w:szCs w:val="18"/>
                <w:lang w:val="en-US" w:eastAsia="zh-CN" w:bidi="ar-SA"/>
              </w:rPr>
            </w:pPr>
          </w:p>
        </w:tc>
        <w:tc>
          <w:tcPr>
            <w:tcW w:w="1512" w:type="dxa"/>
            <w:vAlign w:val="center"/>
          </w:tcPr>
          <w:p>
            <w:pPr>
              <w:pStyle w:val="19"/>
              <w:snapToGrid w:val="0"/>
              <w:jc w:val="center"/>
              <w:textAlignment w:val="baseline"/>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restart"/>
            <w:vAlign w:val="center"/>
          </w:tcPr>
          <w:p>
            <w:pPr>
              <w:keepNext w:val="0"/>
              <w:keepLines w:val="0"/>
              <w:widowControl/>
              <w:suppressLineNumbers w:val="0"/>
              <w:jc w:val="center"/>
              <w:textAlignment w:val="center"/>
              <w:rPr>
                <w:rFonts w:hint="eastAsia" w:ascii="宋体" w:hAnsi="宋体" w:eastAsia="宋体" w:cs="宋体"/>
                <w:b w:val="0"/>
                <w:bCs/>
                <w:sz w:val="18"/>
                <w:szCs w:val="18"/>
              </w:rPr>
            </w:pPr>
            <w:r>
              <w:rPr>
                <w:rFonts w:hint="eastAsia" w:ascii="宋体" w:hAnsi="宋体" w:eastAsia="宋体" w:cs="宋体"/>
                <w:i w:val="0"/>
                <w:iCs w:val="0"/>
                <w:color w:val="000000"/>
                <w:kern w:val="0"/>
                <w:sz w:val="18"/>
                <w:szCs w:val="18"/>
                <w:u w:val="none"/>
                <w:lang w:val="en-US" w:eastAsia="zh-CN" w:bidi="ar"/>
              </w:rPr>
              <w:t>选修</w:t>
            </w:r>
          </w:p>
        </w:tc>
        <w:tc>
          <w:tcPr>
            <w:tcW w:w="1269" w:type="dxa"/>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0000011312</w:t>
            </w:r>
          </w:p>
        </w:tc>
        <w:tc>
          <w:tcPr>
            <w:tcW w:w="2504" w:type="dxa"/>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高等数学1</w:t>
            </w:r>
          </w:p>
        </w:tc>
        <w:tc>
          <w:tcPr>
            <w:tcW w:w="646" w:type="dxa"/>
            <w:gridSpan w:val="2"/>
            <w:vMerge w:val="restart"/>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2</w:t>
            </w:r>
          </w:p>
        </w:tc>
        <w:tc>
          <w:tcPr>
            <w:tcW w:w="615" w:type="dxa"/>
            <w:gridSpan w:val="2"/>
            <w:vMerge w:val="restart"/>
            <w:vAlign w:val="center"/>
          </w:tcPr>
          <w:p>
            <w:pPr>
              <w:pStyle w:val="19"/>
              <w:snapToGrid w:val="0"/>
              <w:jc w:val="center"/>
              <w:textAlignment w:val="baseline"/>
              <w:rPr>
                <w:rFonts w:hint="default" w:ascii="Times New Roman"/>
                <w:sz w:val="18"/>
                <w:szCs w:val="20"/>
                <w:lang w:val="en-US" w:eastAsia="zh-CN"/>
              </w:rPr>
            </w:pPr>
            <w:r>
              <w:rPr>
                <w:rFonts w:hint="eastAsia"/>
                <w:sz w:val="18"/>
                <w:szCs w:val="18"/>
                <w:lang w:eastAsia="zh-CN"/>
              </w:rPr>
              <w:t>36</w:t>
            </w:r>
          </w:p>
        </w:tc>
        <w:tc>
          <w:tcPr>
            <w:tcW w:w="585" w:type="dxa"/>
            <w:vMerge w:val="restart"/>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36</w:t>
            </w:r>
          </w:p>
        </w:tc>
        <w:tc>
          <w:tcPr>
            <w:tcW w:w="565" w:type="dxa"/>
            <w:vAlign w:val="center"/>
          </w:tcPr>
          <w:p>
            <w:pPr>
              <w:pStyle w:val="19"/>
              <w:snapToGrid w:val="0"/>
              <w:jc w:val="center"/>
              <w:textAlignment w:val="baseline"/>
              <w:rPr>
                <w:rFonts w:hint="eastAsia" w:ascii="Times New Roman"/>
                <w:sz w:val="18"/>
                <w:szCs w:val="20"/>
                <w:lang w:eastAsia="zh-CN"/>
              </w:rPr>
            </w:pPr>
          </w:p>
        </w:tc>
        <w:tc>
          <w:tcPr>
            <w:tcW w:w="635" w:type="dxa"/>
            <w:vMerge w:val="restart"/>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2</w:t>
            </w:r>
          </w:p>
        </w:tc>
        <w:tc>
          <w:tcPr>
            <w:tcW w:w="508" w:type="dxa"/>
            <w:vAlign w:val="center"/>
          </w:tcPr>
          <w:p>
            <w:pPr>
              <w:pStyle w:val="19"/>
              <w:snapToGrid w:val="0"/>
              <w:jc w:val="center"/>
              <w:textAlignment w:val="baseline"/>
              <w:rPr>
                <w:rFonts w:hint="eastAsia" w:ascii="Times New Roman"/>
                <w:sz w:val="18"/>
                <w:szCs w:val="20"/>
                <w:lang w:val="en-US" w:eastAsia="zh-CN"/>
              </w:rPr>
            </w:pPr>
          </w:p>
        </w:tc>
        <w:tc>
          <w:tcPr>
            <w:tcW w:w="542" w:type="dxa"/>
            <w:vAlign w:val="center"/>
          </w:tcPr>
          <w:p>
            <w:pPr>
              <w:pStyle w:val="19"/>
              <w:snapToGrid w:val="0"/>
              <w:jc w:val="center"/>
              <w:textAlignment w:val="baseline"/>
              <w:rPr>
                <w:rFonts w:hint="eastAsia" w:ascii="Times New Roman"/>
                <w:sz w:val="18"/>
                <w:szCs w:val="20"/>
                <w:lang w:eastAsia="zh-CN"/>
              </w:rPr>
            </w:pPr>
          </w:p>
        </w:tc>
        <w:tc>
          <w:tcPr>
            <w:tcW w:w="496" w:type="dxa"/>
            <w:gridSpan w:val="2"/>
            <w:vAlign w:val="center"/>
          </w:tcPr>
          <w:p>
            <w:pPr>
              <w:pStyle w:val="19"/>
              <w:snapToGrid w:val="0"/>
              <w:jc w:val="center"/>
              <w:textAlignment w:val="baseline"/>
              <w:rPr>
                <w:rFonts w:hint="eastAsia" w:ascii="Times New Roman"/>
                <w:sz w:val="18"/>
                <w:szCs w:val="20"/>
                <w:lang w:eastAsia="zh-CN"/>
              </w:rPr>
            </w:pPr>
          </w:p>
        </w:tc>
        <w:tc>
          <w:tcPr>
            <w:tcW w:w="566" w:type="dxa"/>
            <w:vAlign w:val="center"/>
          </w:tcPr>
          <w:p>
            <w:pPr>
              <w:pStyle w:val="19"/>
              <w:snapToGrid w:val="0"/>
              <w:jc w:val="center"/>
              <w:textAlignment w:val="baseline"/>
              <w:rPr>
                <w:rFonts w:hint="eastAsia" w:ascii="Times New Roman"/>
                <w:sz w:val="18"/>
                <w:szCs w:val="20"/>
                <w:lang w:eastAsia="zh-CN"/>
              </w:rPr>
            </w:pPr>
          </w:p>
        </w:tc>
        <w:tc>
          <w:tcPr>
            <w:tcW w:w="588" w:type="dxa"/>
            <w:vAlign w:val="center"/>
          </w:tcPr>
          <w:p>
            <w:pPr>
              <w:pStyle w:val="19"/>
              <w:snapToGrid w:val="0"/>
              <w:jc w:val="center"/>
              <w:textAlignment w:val="baseline"/>
              <w:rPr>
                <w:rFonts w:hint="eastAsia" w:ascii="Times New Roman"/>
                <w:sz w:val="18"/>
                <w:szCs w:val="20"/>
                <w:lang w:eastAsia="zh-CN"/>
              </w:rPr>
            </w:pPr>
          </w:p>
        </w:tc>
        <w:tc>
          <w:tcPr>
            <w:tcW w:w="935" w:type="dxa"/>
            <w:vAlign w:val="top"/>
          </w:tcPr>
          <w:p>
            <w:pPr>
              <w:pStyle w:val="19"/>
              <w:snapToGrid w:val="0"/>
              <w:jc w:val="left"/>
              <w:textAlignment w:val="baseline"/>
              <w:rPr>
                <w:rFonts w:hint="eastAsia" w:ascii="宋体" w:hAnsi="宋体" w:eastAsia="宋体" w:cs="宋体"/>
                <w:b w:val="0"/>
                <w:bCs/>
                <w:sz w:val="18"/>
                <w:szCs w:val="18"/>
              </w:rPr>
            </w:pPr>
          </w:p>
        </w:tc>
        <w:tc>
          <w:tcPr>
            <w:tcW w:w="1512" w:type="dxa"/>
            <w:vMerge w:val="restart"/>
            <w:vAlign w:val="center"/>
          </w:tcPr>
          <w:p>
            <w:pPr>
              <w:pStyle w:val="19"/>
              <w:snapToGrid w:val="0"/>
              <w:jc w:val="center"/>
              <w:textAlignment w:val="baseline"/>
              <w:rPr>
                <w:rFonts w:hint="eastAsia"/>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0000011320</w:t>
            </w:r>
          </w:p>
        </w:tc>
        <w:tc>
          <w:tcPr>
            <w:tcW w:w="2504" w:type="dxa"/>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美育</w:t>
            </w:r>
          </w:p>
        </w:tc>
        <w:tc>
          <w:tcPr>
            <w:tcW w:w="646" w:type="dxa"/>
            <w:gridSpan w:val="2"/>
            <w:vMerge w:val="continue"/>
            <w:vAlign w:val="center"/>
          </w:tcPr>
          <w:p>
            <w:pPr>
              <w:pStyle w:val="19"/>
              <w:snapToGrid w:val="0"/>
              <w:jc w:val="center"/>
              <w:textAlignment w:val="baseline"/>
              <w:rPr>
                <w:rFonts w:hint="eastAsia" w:ascii="Times New Roman"/>
                <w:sz w:val="18"/>
                <w:szCs w:val="20"/>
                <w:lang w:val="en-US" w:eastAsia="zh-CN"/>
              </w:rPr>
            </w:pPr>
          </w:p>
        </w:tc>
        <w:tc>
          <w:tcPr>
            <w:tcW w:w="615" w:type="dxa"/>
            <w:gridSpan w:val="2"/>
            <w:vMerge w:val="continue"/>
            <w:vAlign w:val="center"/>
          </w:tcPr>
          <w:p>
            <w:pPr>
              <w:pStyle w:val="19"/>
              <w:snapToGrid w:val="0"/>
              <w:ind w:left="440" w:leftChars="0"/>
              <w:jc w:val="center"/>
              <w:textAlignment w:val="baseline"/>
              <w:rPr>
                <w:rFonts w:hint="default" w:ascii="Times New Roman"/>
                <w:sz w:val="18"/>
                <w:szCs w:val="20"/>
                <w:lang w:val="en-US" w:eastAsia="zh-CN"/>
              </w:rPr>
            </w:pPr>
          </w:p>
        </w:tc>
        <w:tc>
          <w:tcPr>
            <w:tcW w:w="585" w:type="dxa"/>
            <w:vMerge w:val="continue"/>
            <w:vAlign w:val="center"/>
          </w:tcPr>
          <w:p>
            <w:pPr>
              <w:pStyle w:val="19"/>
              <w:snapToGrid w:val="0"/>
              <w:ind w:left="440" w:leftChars="0"/>
              <w:jc w:val="center"/>
              <w:textAlignment w:val="baseline"/>
              <w:rPr>
                <w:rFonts w:hint="eastAsia" w:ascii="Times New Roman"/>
                <w:sz w:val="18"/>
                <w:szCs w:val="20"/>
                <w:lang w:eastAsia="zh-CN"/>
              </w:rPr>
            </w:pPr>
          </w:p>
        </w:tc>
        <w:tc>
          <w:tcPr>
            <w:tcW w:w="565" w:type="dxa"/>
            <w:vAlign w:val="center"/>
          </w:tcPr>
          <w:p>
            <w:pPr>
              <w:pStyle w:val="19"/>
              <w:snapToGrid w:val="0"/>
              <w:jc w:val="center"/>
              <w:textAlignment w:val="baseline"/>
              <w:rPr>
                <w:rFonts w:hint="eastAsia" w:ascii="Times New Roman"/>
                <w:sz w:val="18"/>
                <w:szCs w:val="20"/>
                <w:lang w:eastAsia="zh-CN"/>
              </w:rPr>
            </w:pPr>
          </w:p>
        </w:tc>
        <w:tc>
          <w:tcPr>
            <w:tcW w:w="635" w:type="dxa"/>
            <w:vMerge w:val="continue"/>
            <w:vAlign w:val="center"/>
          </w:tcPr>
          <w:p>
            <w:pPr>
              <w:pStyle w:val="19"/>
              <w:snapToGrid w:val="0"/>
              <w:jc w:val="center"/>
              <w:textAlignment w:val="baseline"/>
              <w:rPr>
                <w:rFonts w:hint="eastAsia" w:ascii="Times New Roman"/>
                <w:sz w:val="18"/>
                <w:szCs w:val="20"/>
                <w:lang w:val="en-US" w:eastAsia="zh-CN"/>
              </w:rPr>
            </w:pPr>
          </w:p>
        </w:tc>
        <w:tc>
          <w:tcPr>
            <w:tcW w:w="508" w:type="dxa"/>
            <w:vAlign w:val="center"/>
          </w:tcPr>
          <w:p>
            <w:pPr>
              <w:pStyle w:val="19"/>
              <w:snapToGrid w:val="0"/>
              <w:jc w:val="center"/>
              <w:textAlignment w:val="baseline"/>
              <w:rPr>
                <w:rFonts w:hint="eastAsia" w:ascii="Times New Roman"/>
                <w:sz w:val="18"/>
                <w:szCs w:val="20"/>
                <w:lang w:eastAsia="zh-CN"/>
              </w:rPr>
            </w:pPr>
          </w:p>
        </w:tc>
        <w:tc>
          <w:tcPr>
            <w:tcW w:w="542" w:type="dxa"/>
            <w:vAlign w:val="center"/>
          </w:tcPr>
          <w:p>
            <w:pPr>
              <w:pStyle w:val="19"/>
              <w:snapToGrid w:val="0"/>
              <w:jc w:val="center"/>
              <w:textAlignment w:val="baseline"/>
              <w:rPr>
                <w:rFonts w:hint="eastAsia" w:ascii="Times New Roman"/>
                <w:sz w:val="18"/>
                <w:szCs w:val="20"/>
                <w:lang w:eastAsia="zh-CN"/>
              </w:rPr>
            </w:pPr>
          </w:p>
        </w:tc>
        <w:tc>
          <w:tcPr>
            <w:tcW w:w="496" w:type="dxa"/>
            <w:gridSpan w:val="2"/>
            <w:vAlign w:val="center"/>
          </w:tcPr>
          <w:p>
            <w:pPr>
              <w:pStyle w:val="19"/>
              <w:snapToGrid w:val="0"/>
              <w:jc w:val="center"/>
              <w:textAlignment w:val="baseline"/>
              <w:rPr>
                <w:rFonts w:hint="eastAsia" w:ascii="Times New Roman"/>
                <w:sz w:val="18"/>
                <w:szCs w:val="20"/>
                <w:lang w:eastAsia="zh-CN"/>
              </w:rPr>
            </w:pPr>
          </w:p>
        </w:tc>
        <w:tc>
          <w:tcPr>
            <w:tcW w:w="566" w:type="dxa"/>
            <w:vAlign w:val="center"/>
          </w:tcPr>
          <w:p>
            <w:pPr>
              <w:pStyle w:val="19"/>
              <w:snapToGrid w:val="0"/>
              <w:jc w:val="center"/>
              <w:textAlignment w:val="baseline"/>
              <w:rPr>
                <w:rFonts w:hint="eastAsia" w:ascii="Times New Roman"/>
                <w:sz w:val="18"/>
                <w:szCs w:val="20"/>
                <w:lang w:eastAsia="zh-CN"/>
              </w:rPr>
            </w:pPr>
          </w:p>
        </w:tc>
        <w:tc>
          <w:tcPr>
            <w:tcW w:w="588" w:type="dxa"/>
            <w:vAlign w:val="center"/>
          </w:tcPr>
          <w:p>
            <w:pPr>
              <w:pStyle w:val="19"/>
              <w:snapToGrid w:val="0"/>
              <w:jc w:val="center"/>
              <w:textAlignment w:val="baseline"/>
              <w:rPr>
                <w:rFonts w:hint="eastAsia" w:ascii="Times New Roman"/>
                <w:sz w:val="18"/>
                <w:szCs w:val="20"/>
                <w:lang w:eastAsia="zh-CN"/>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0000011302</w:t>
            </w:r>
          </w:p>
        </w:tc>
        <w:tc>
          <w:tcPr>
            <w:tcW w:w="2504" w:type="dxa"/>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美术</w:t>
            </w:r>
          </w:p>
        </w:tc>
        <w:tc>
          <w:tcPr>
            <w:tcW w:w="646" w:type="dxa"/>
            <w:gridSpan w:val="2"/>
            <w:vMerge w:val="continue"/>
            <w:vAlign w:val="center"/>
          </w:tcPr>
          <w:p>
            <w:pPr>
              <w:pStyle w:val="19"/>
              <w:snapToGrid w:val="0"/>
              <w:jc w:val="center"/>
              <w:textAlignment w:val="baseline"/>
              <w:rPr>
                <w:rFonts w:hint="eastAsia" w:ascii="Times New Roman"/>
                <w:sz w:val="18"/>
                <w:szCs w:val="20"/>
                <w:lang w:eastAsia="zh-CN"/>
              </w:rPr>
            </w:pPr>
          </w:p>
        </w:tc>
        <w:tc>
          <w:tcPr>
            <w:tcW w:w="615" w:type="dxa"/>
            <w:gridSpan w:val="2"/>
            <w:vMerge w:val="continue"/>
            <w:vAlign w:val="center"/>
          </w:tcPr>
          <w:p>
            <w:pPr>
              <w:pStyle w:val="19"/>
              <w:snapToGrid w:val="0"/>
              <w:ind w:left="440" w:leftChars="0"/>
              <w:jc w:val="center"/>
              <w:textAlignment w:val="baseline"/>
              <w:rPr>
                <w:rFonts w:hint="default" w:ascii="Times New Roman"/>
                <w:sz w:val="18"/>
                <w:szCs w:val="20"/>
                <w:lang w:val="en-US" w:eastAsia="zh-CN"/>
              </w:rPr>
            </w:pPr>
          </w:p>
        </w:tc>
        <w:tc>
          <w:tcPr>
            <w:tcW w:w="585" w:type="dxa"/>
            <w:vMerge w:val="continue"/>
            <w:vAlign w:val="center"/>
          </w:tcPr>
          <w:p>
            <w:pPr>
              <w:pStyle w:val="19"/>
              <w:snapToGrid w:val="0"/>
              <w:ind w:left="440" w:leftChars="0"/>
              <w:jc w:val="center"/>
              <w:textAlignment w:val="baseline"/>
              <w:rPr>
                <w:rFonts w:hint="eastAsia" w:ascii="Times New Roman"/>
                <w:sz w:val="18"/>
                <w:szCs w:val="20"/>
                <w:lang w:eastAsia="zh-CN"/>
              </w:rPr>
            </w:pPr>
          </w:p>
        </w:tc>
        <w:tc>
          <w:tcPr>
            <w:tcW w:w="565" w:type="dxa"/>
            <w:vAlign w:val="center"/>
          </w:tcPr>
          <w:p>
            <w:pPr>
              <w:pStyle w:val="19"/>
              <w:snapToGrid w:val="0"/>
              <w:jc w:val="center"/>
              <w:textAlignment w:val="baseline"/>
              <w:rPr>
                <w:rFonts w:hint="eastAsia" w:ascii="Times New Roman"/>
                <w:sz w:val="18"/>
                <w:szCs w:val="20"/>
                <w:lang w:eastAsia="zh-CN"/>
              </w:rPr>
            </w:pPr>
          </w:p>
        </w:tc>
        <w:tc>
          <w:tcPr>
            <w:tcW w:w="635" w:type="dxa"/>
            <w:vMerge w:val="continue"/>
            <w:vAlign w:val="center"/>
          </w:tcPr>
          <w:p>
            <w:pPr>
              <w:pStyle w:val="19"/>
              <w:snapToGrid w:val="0"/>
              <w:jc w:val="center"/>
              <w:textAlignment w:val="baseline"/>
              <w:rPr>
                <w:rFonts w:hint="eastAsia" w:ascii="Times New Roman"/>
                <w:sz w:val="18"/>
                <w:szCs w:val="20"/>
                <w:lang w:val="en-US" w:eastAsia="zh-CN"/>
              </w:rPr>
            </w:pPr>
          </w:p>
        </w:tc>
        <w:tc>
          <w:tcPr>
            <w:tcW w:w="508" w:type="dxa"/>
            <w:vAlign w:val="center"/>
          </w:tcPr>
          <w:p>
            <w:pPr>
              <w:pStyle w:val="19"/>
              <w:snapToGrid w:val="0"/>
              <w:jc w:val="center"/>
              <w:textAlignment w:val="baseline"/>
              <w:rPr>
                <w:rFonts w:hint="eastAsia" w:ascii="Times New Roman"/>
                <w:sz w:val="18"/>
                <w:szCs w:val="20"/>
                <w:lang w:eastAsia="zh-CN"/>
              </w:rPr>
            </w:pPr>
          </w:p>
        </w:tc>
        <w:tc>
          <w:tcPr>
            <w:tcW w:w="542" w:type="dxa"/>
            <w:vAlign w:val="center"/>
          </w:tcPr>
          <w:p>
            <w:pPr>
              <w:pStyle w:val="19"/>
              <w:snapToGrid w:val="0"/>
              <w:jc w:val="center"/>
              <w:textAlignment w:val="baseline"/>
              <w:rPr>
                <w:rFonts w:hint="eastAsia" w:ascii="Times New Roman"/>
                <w:sz w:val="18"/>
                <w:szCs w:val="20"/>
                <w:lang w:eastAsia="zh-CN"/>
              </w:rPr>
            </w:pPr>
          </w:p>
        </w:tc>
        <w:tc>
          <w:tcPr>
            <w:tcW w:w="496" w:type="dxa"/>
            <w:gridSpan w:val="2"/>
            <w:vAlign w:val="center"/>
          </w:tcPr>
          <w:p>
            <w:pPr>
              <w:pStyle w:val="19"/>
              <w:snapToGrid w:val="0"/>
              <w:jc w:val="center"/>
              <w:textAlignment w:val="baseline"/>
              <w:rPr>
                <w:rFonts w:hint="eastAsia" w:ascii="Times New Roman"/>
                <w:sz w:val="18"/>
                <w:szCs w:val="20"/>
                <w:lang w:eastAsia="zh-CN"/>
              </w:rPr>
            </w:pPr>
          </w:p>
        </w:tc>
        <w:tc>
          <w:tcPr>
            <w:tcW w:w="566" w:type="dxa"/>
            <w:vAlign w:val="center"/>
          </w:tcPr>
          <w:p>
            <w:pPr>
              <w:pStyle w:val="19"/>
              <w:snapToGrid w:val="0"/>
              <w:jc w:val="center"/>
              <w:textAlignment w:val="baseline"/>
              <w:rPr>
                <w:rFonts w:hint="eastAsia" w:ascii="Times New Roman"/>
                <w:sz w:val="18"/>
                <w:szCs w:val="20"/>
                <w:lang w:eastAsia="zh-CN"/>
              </w:rPr>
            </w:pPr>
          </w:p>
        </w:tc>
        <w:tc>
          <w:tcPr>
            <w:tcW w:w="588" w:type="dxa"/>
            <w:vAlign w:val="center"/>
          </w:tcPr>
          <w:p>
            <w:pPr>
              <w:pStyle w:val="19"/>
              <w:snapToGrid w:val="0"/>
              <w:jc w:val="center"/>
              <w:textAlignment w:val="baseline"/>
              <w:rPr>
                <w:rFonts w:hint="eastAsia" w:ascii="Times New Roman"/>
                <w:sz w:val="18"/>
                <w:szCs w:val="20"/>
                <w:lang w:eastAsia="zh-CN"/>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0000011321</w:t>
            </w:r>
          </w:p>
        </w:tc>
        <w:tc>
          <w:tcPr>
            <w:tcW w:w="2504"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四史-党史</w:t>
            </w:r>
          </w:p>
        </w:tc>
        <w:tc>
          <w:tcPr>
            <w:tcW w:w="646" w:type="dxa"/>
            <w:gridSpan w:val="2"/>
            <w:vMerge w:val="continue"/>
            <w:tcBorders>
              <w:left w:val="single" w:color="auto" w:sz="4" w:space="0"/>
            </w:tcBorders>
            <w:vAlign w:val="center"/>
          </w:tcPr>
          <w:p>
            <w:pPr>
              <w:pStyle w:val="19"/>
              <w:snapToGrid w:val="0"/>
              <w:jc w:val="center"/>
              <w:textAlignment w:val="baseline"/>
              <w:rPr>
                <w:rFonts w:hint="eastAsia" w:ascii="Times New Roman"/>
                <w:sz w:val="18"/>
                <w:szCs w:val="20"/>
                <w:lang w:val="en-US" w:eastAsia="zh-CN"/>
              </w:rPr>
            </w:pPr>
          </w:p>
        </w:tc>
        <w:tc>
          <w:tcPr>
            <w:tcW w:w="615" w:type="dxa"/>
            <w:gridSpan w:val="2"/>
            <w:vMerge w:val="continue"/>
            <w:vAlign w:val="center"/>
          </w:tcPr>
          <w:p>
            <w:pPr>
              <w:pStyle w:val="19"/>
              <w:snapToGrid w:val="0"/>
              <w:ind w:left="440" w:leftChars="0"/>
              <w:jc w:val="center"/>
              <w:textAlignment w:val="baseline"/>
              <w:rPr>
                <w:rFonts w:hint="default" w:ascii="Times New Roman"/>
                <w:sz w:val="18"/>
                <w:szCs w:val="20"/>
                <w:lang w:val="en-US" w:eastAsia="zh-CN"/>
              </w:rPr>
            </w:pPr>
          </w:p>
        </w:tc>
        <w:tc>
          <w:tcPr>
            <w:tcW w:w="585" w:type="dxa"/>
            <w:vMerge w:val="continue"/>
            <w:vAlign w:val="center"/>
          </w:tcPr>
          <w:p>
            <w:pPr>
              <w:pStyle w:val="19"/>
              <w:snapToGrid w:val="0"/>
              <w:ind w:left="440" w:leftChars="0"/>
              <w:jc w:val="center"/>
              <w:textAlignment w:val="baseline"/>
              <w:rPr>
                <w:rFonts w:hint="eastAsia" w:ascii="Times New Roman"/>
                <w:sz w:val="18"/>
                <w:szCs w:val="20"/>
                <w:lang w:eastAsia="zh-CN"/>
              </w:rPr>
            </w:pPr>
          </w:p>
        </w:tc>
        <w:tc>
          <w:tcPr>
            <w:tcW w:w="565" w:type="dxa"/>
            <w:vAlign w:val="center"/>
          </w:tcPr>
          <w:p>
            <w:pPr>
              <w:pStyle w:val="19"/>
              <w:snapToGrid w:val="0"/>
              <w:jc w:val="center"/>
              <w:textAlignment w:val="baseline"/>
              <w:rPr>
                <w:rFonts w:hint="eastAsia" w:ascii="Times New Roman"/>
                <w:sz w:val="18"/>
                <w:szCs w:val="20"/>
                <w:lang w:eastAsia="zh-CN"/>
              </w:rPr>
            </w:pPr>
          </w:p>
        </w:tc>
        <w:tc>
          <w:tcPr>
            <w:tcW w:w="635" w:type="dxa"/>
            <w:vMerge w:val="continue"/>
            <w:vAlign w:val="center"/>
          </w:tcPr>
          <w:p>
            <w:pPr>
              <w:pStyle w:val="19"/>
              <w:snapToGrid w:val="0"/>
              <w:jc w:val="center"/>
              <w:textAlignment w:val="baseline"/>
              <w:rPr>
                <w:rFonts w:hint="eastAsia" w:ascii="Times New Roman"/>
                <w:sz w:val="18"/>
                <w:szCs w:val="20"/>
                <w:lang w:eastAsia="zh-CN"/>
              </w:rPr>
            </w:pPr>
          </w:p>
        </w:tc>
        <w:tc>
          <w:tcPr>
            <w:tcW w:w="508" w:type="dxa"/>
            <w:vAlign w:val="center"/>
          </w:tcPr>
          <w:p>
            <w:pPr>
              <w:pStyle w:val="19"/>
              <w:snapToGrid w:val="0"/>
              <w:jc w:val="center"/>
              <w:textAlignment w:val="baseline"/>
              <w:rPr>
                <w:rFonts w:hint="eastAsia" w:ascii="Times New Roman"/>
                <w:sz w:val="18"/>
                <w:szCs w:val="20"/>
                <w:lang w:eastAsia="zh-CN"/>
              </w:rPr>
            </w:pPr>
          </w:p>
        </w:tc>
        <w:tc>
          <w:tcPr>
            <w:tcW w:w="542" w:type="dxa"/>
            <w:vAlign w:val="center"/>
          </w:tcPr>
          <w:p>
            <w:pPr>
              <w:pStyle w:val="19"/>
              <w:snapToGrid w:val="0"/>
              <w:jc w:val="center"/>
              <w:textAlignment w:val="baseline"/>
              <w:rPr>
                <w:rFonts w:hint="eastAsia" w:ascii="Times New Roman"/>
                <w:sz w:val="18"/>
                <w:szCs w:val="20"/>
                <w:lang w:eastAsia="zh-CN"/>
              </w:rPr>
            </w:pPr>
          </w:p>
        </w:tc>
        <w:tc>
          <w:tcPr>
            <w:tcW w:w="496" w:type="dxa"/>
            <w:gridSpan w:val="2"/>
            <w:vAlign w:val="center"/>
          </w:tcPr>
          <w:p>
            <w:pPr>
              <w:pStyle w:val="19"/>
              <w:snapToGrid w:val="0"/>
              <w:jc w:val="center"/>
              <w:textAlignment w:val="baseline"/>
              <w:rPr>
                <w:rFonts w:hint="eastAsia" w:ascii="Times New Roman"/>
                <w:sz w:val="18"/>
                <w:szCs w:val="20"/>
                <w:lang w:eastAsia="zh-CN"/>
              </w:rPr>
            </w:pPr>
          </w:p>
        </w:tc>
        <w:tc>
          <w:tcPr>
            <w:tcW w:w="566" w:type="dxa"/>
            <w:vAlign w:val="center"/>
          </w:tcPr>
          <w:p>
            <w:pPr>
              <w:pStyle w:val="19"/>
              <w:snapToGrid w:val="0"/>
              <w:jc w:val="center"/>
              <w:textAlignment w:val="baseline"/>
              <w:rPr>
                <w:rFonts w:hint="eastAsia" w:ascii="Times New Roman"/>
                <w:sz w:val="18"/>
                <w:szCs w:val="20"/>
                <w:lang w:eastAsia="zh-CN"/>
              </w:rPr>
            </w:pPr>
          </w:p>
        </w:tc>
        <w:tc>
          <w:tcPr>
            <w:tcW w:w="588" w:type="dxa"/>
            <w:vAlign w:val="center"/>
          </w:tcPr>
          <w:p>
            <w:pPr>
              <w:pStyle w:val="19"/>
              <w:snapToGrid w:val="0"/>
              <w:jc w:val="center"/>
              <w:textAlignment w:val="baseline"/>
              <w:rPr>
                <w:rFonts w:hint="eastAsia" w:ascii="Times New Roman"/>
                <w:sz w:val="18"/>
                <w:szCs w:val="20"/>
                <w:lang w:eastAsia="zh-CN"/>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0000011309</w:t>
            </w:r>
          </w:p>
        </w:tc>
        <w:tc>
          <w:tcPr>
            <w:tcW w:w="2504"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沟通技巧1</w:t>
            </w:r>
          </w:p>
        </w:tc>
        <w:tc>
          <w:tcPr>
            <w:tcW w:w="646" w:type="dxa"/>
            <w:gridSpan w:val="2"/>
            <w:vMerge w:val="continue"/>
            <w:tcBorders>
              <w:left w:val="single" w:color="auto" w:sz="4" w:space="0"/>
            </w:tcBorders>
            <w:vAlign w:val="center"/>
          </w:tcPr>
          <w:p>
            <w:pPr>
              <w:pStyle w:val="19"/>
              <w:snapToGrid w:val="0"/>
              <w:jc w:val="center"/>
              <w:textAlignment w:val="baseline"/>
              <w:rPr>
                <w:rFonts w:hint="eastAsia" w:ascii="Times New Roman"/>
                <w:sz w:val="18"/>
                <w:szCs w:val="20"/>
                <w:lang w:val="en-US" w:eastAsia="zh-CN"/>
              </w:rPr>
            </w:pPr>
          </w:p>
        </w:tc>
        <w:tc>
          <w:tcPr>
            <w:tcW w:w="615" w:type="dxa"/>
            <w:gridSpan w:val="2"/>
            <w:vMerge w:val="continue"/>
            <w:vAlign w:val="center"/>
          </w:tcPr>
          <w:p>
            <w:pPr>
              <w:pStyle w:val="19"/>
              <w:snapToGrid w:val="0"/>
              <w:jc w:val="center"/>
              <w:textAlignment w:val="baseline"/>
              <w:rPr>
                <w:rFonts w:hint="eastAsia" w:ascii="Times New Roman"/>
                <w:sz w:val="18"/>
                <w:szCs w:val="20"/>
                <w:lang w:eastAsia="zh-CN"/>
              </w:rPr>
            </w:pPr>
          </w:p>
        </w:tc>
        <w:tc>
          <w:tcPr>
            <w:tcW w:w="585" w:type="dxa"/>
            <w:vMerge w:val="continue"/>
            <w:vAlign w:val="center"/>
          </w:tcPr>
          <w:p>
            <w:pPr>
              <w:pStyle w:val="19"/>
              <w:snapToGrid w:val="0"/>
              <w:jc w:val="center"/>
              <w:textAlignment w:val="baseline"/>
              <w:rPr>
                <w:rFonts w:hint="eastAsia" w:ascii="Times New Roman"/>
                <w:sz w:val="18"/>
                <w:szCs w:val="20"/>
                <w:lang w:eastAsia="zh-CN"/>
              </w:rPr>
            </w:pPr>
          </w:p>
        </w:tc>
        <w:tc>
          <w:tcPr>
            <w:tcW w:w="565" w:type="dxa"/>
            <w:vAlign w:val="center"/>
          </w:tcPr>
          <w:p>
            <w:pPr>
              <w:pStyle w:val="19"/>
              <w:snapToGrid w:val="0"/>
              <w:jc w:val="center"/>
              <w:textAlignment w:val="baseline"/>
              <w:rPr>
                <w:rFonts w:hint="eastAsia" w:ascii="Times New Roman"/>
                <w:sz w:val="18"/>
                <w:szCs w:val="20"/>
                <w:lang w:eastAsia="zh-CN"/>
              </w:rPr>
            </w:pPr>
          </w:p>
        </w:tc>
        <w:tc>
          <w:tcPr>
            <w:tcW w:w="635" w:type="dxa"/>
            <w:vMerge w:val="continue"/>
            <w:vAlign w:val="center"/>
          </w:tcPr>
          <w:p>
            <w:pPr>
              <w:pStyle w:val="19"/>
              <w:snapToGrid w:val="0"/>
              <w:jc w:val="center"/>
              <w:textAlignment w:val="baseline"/>
              <w:rPr>
                <w:rFonts w:hint="eastAsia" w:ascii="Times New Roman"/>
                <w:sz w:val="18"/>
                <w:szCs w:val="20"/>
                <w:lang w:eastAsia="zh-CN"/>
              </w:rPr>
            </w:pPr>
          </w:p>
        </w:tc>
        <w:tc>
          <w:tcPr>
            <w:tcW w:w="508" w:type="dxa"/>
            <w:vAlign w:val="center"/>
          </w:tcPr>
          <w:p>
            <w:pPr>
              <w:pStyle w:val="19"/>
              <w:snapToGrid w:val="0"/>
              <w:jc w:val="center"/>
              <w:textAlignment w:val="baseline"/>
              <w:rPr>
                <w:rFonts w:hint="eastAsia" w:ascii="Times New Roman"/>
                <w:sz w:val="18"/>
                <w:szCs w:val="20"/>
                <w:lang w:eastAsia="zh-CN"/>
              </w:rPr>
            </w:pPr>
          </w:p>
        </w:tc>
        <w:tc>
          <w:tcPr>
            <w:tcW w:w="542" w:type="dxa"/>
            <w:vAlign w:val="center"/>
          </w:tcPr>
          <w:p>
            <w:pPr>
              <w:pStyle w:val="19"/>
              <w:snapToGrid w:val="0"/>
              <w:jc w:val="center"/>
              <w:textAlignment w:val="baseline"/>
              <w:rPr>
                <w:rFonts w:hint="eastAsia" w:ascii="Times New Roman"/>
                <w:sz w:val="18"/>
                <w:szCs w:val="20"/>
                <w:lang w:eastAsia="zh-CN"/>
              </w:rPr>
            </w:pPr>
          </w:p>
        </w:tc>
        <w:tc>
          <w:tcPr>
            <w:tcW w:w="496" w:type="dxa"/>
            <w:gridSpan w:val="2"/>
            <w:vAlign w:val="center"/>
          </w:tcPr>
          <w:p>
            <w:pPr>
              <w:pStyle w:val="19"/>
              <w:snapToGrid w:val="0"/>
              <w:jc w:val="center"/>
              <w:textAlignment w:val="baseline"/>
              <w:rPr>
                <w:rFonts w:hint="eastAsia" w:ascii="Times New Roman"/>
                <w:sz w:val="18"/>
                <w:szCs w:val="20"/>
                <w:lang w:eastAsia="zh-CN"/>
              </w:rPr>
            </w:pPr>
          </w:p>
        </w:tc>
        <w:tc>
          <w:tcPr>
            <w:tcW w:w="566" w:type="dxa"/>
            <w:vAlign w:val="center"/>
          </w:tcPr>
          <w:p>
            <w:pPr>
              <w:pStyle w:val="19"/>
              <w:snapToGrid w:val="0"/>
              <w:jc w:val="center"/>
              <w:textAlignment w:val="baseline"/>
              <w:rPr>
                <w:rFonts w:hint="eastAsia" w:ascii="Times New Roman"/>
                <w:sz w:val="18"/>
                <w:szCs w:val="20"/>
                <w:lang w:eastAsia="zh-CN"/>
              </w:rPr>
            </w:pPr>
          </w:p>
        </w:tc>
        <w:tc>
          <w:tcPr>
            <w:tcW w:w="588" w:type="dxa"/>
            <w:vAlign w:val="center"/>
          </w:tcPr>
          <w:p>
            <w:pPr>
              <w:pStyle w:val="19"/>
              <w:snapToGrid w:val="0"/>
              <w:jc w:val="center"/>
              <w:textAlignment w:val="baseline"/>
              <w:rPr>
                <w:rFonts w:hint="eastAsia" w:ascii="Times New Roman"/>
                <w:sz w:val="18"/>
                <w:szCs w:val="20"/>
                <w:lang w:eastAsia="zh-CN"/>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0000011316</w:t>
            </w:r>
          </w:p>
        </w:tc>
        <w:tc>
          <w:tcPr>
            <w:tcW w:w="2504"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大学英语1</w:t>
            </w:r>
          </w:p>
        </w:tc>
        <w:tc>
          <w:tcPr>
            <w:tcW w:w="646" w:type="dxa"/>
            <w:gridSpan w:val="2"/>
            <w:vMerge w:val="restart"/>
            <w:tcBorders>
              <w:lef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2</w:t>
            </w:r>
          </w:p>
        </w:tc>
        <w:tc>
          <w:tcPr>
            <w:tcW w:w="615" w:type="dxa"/>
            <w:gridSpan w:val="2"/>
            <w:vMerge w:val="restart"/>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36</w:t>
            </w:r>
          </w:p>
        </w:tc>
        <w:tc>
          <w:tcPr>
            <w:tcW w:w="585" w:type="dxa"/>
            <w:vMerge w:val="restart"/>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36</w:t>
            </w:r>
          </w:p>
        </w:tc>
        <w:tc>
          <w:tcPr>
            <w:tcW w:w="565" w:type="dxa"/>
            <w:vAlign w:val="center"/>
          </w:tcPr>
          <w:p>
            <w:pPr>
              <w:pStyle w:val="19"/>
              <w:snapToGrid w:val="0"/>
              <w:jc w:val="center"/>
              <w:textAlignment w:val="baseline"/>
              <w:rPr>
                <w:rFonts w:hint="eastAsia" w:ascii="Times New Roman"/>
                <w:sz w:val="18"/>
                <w:szCs w:val="20"/>
                <w:lang w:eastAsia="zh-CN"/>
              </w:rPr>
            </w:pPr>
          </w:p>
        </w:tc>
        <w:tc>
          <w:tcPr>
            <w:tcW w:w="635" w:type="dxa"/>
            <w:vMerge w:val="restart"/>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2</w:t>
            </w:r>
          </w:p>
        </w:tc>
        <w:tc>
          <w:tcPr>
            <w:tcW w:w="508" w:type="dxa"/>
            <w:vAlign w:val="center"/>
          </w:tcPr>
          <w:p>
            <w:pPr>
              <w:pStyle w:val="19"/>
              <w:snapToGrid w:val="0"/>
              <w:jc w:val="center"/>
              <w:textAlignment w:val="baseline"/>
              <w:rPr>
                <w:rFonts w:hint="eastAsia" w:ascii="Times New Roman"/>
                <w:sz w:val="18"/>
                <w:szCs w:val="20"/>
                <w:lang w:eastAsia="zh-CN"/>
              </w:rPr>
            </w:pPr>
          </w:p>
        </w:tc>
        <w:tc>
          <w:tcPr>
            <w:tcW w:w="542" w:type="dxa"/>
            <w:vAlign w:val="center"/>
          </w:tcPr>
          <w:p>
            <w:pPr>
              <w:pStyle w:val="19"/>
              <w:snapToGrid w:val="0"/>
              <w:jc w:val="center"/>
              <w:textAlignment w:val="baseline"/>
              <w:rPr>
                <w:rFonts w:hint="eastAsia" w:ascii="Times New Roman"/>
                <w:sz w:val="18"/>
                <w:szCs w:val="20"/>
                <w:lang w:eastAsia="zh-CN"/>
              </w:rPr>
            </w:pPr>
          </w:p>
        </w:tc>
        <w:tc>
          <w:tcPr>
            <w:tcW w:w="496" w:type="dxa"/>
            <w:gridSpan w:val="2"/>
            <w:vAlign w:val="center"/>
          </w:tcPr>
          <w:p>
            <w:pPr>
              <w:pStyle w:val="19"/>
              <w:snapToGrid w:val="0"/>
              <w:jc w:val="center"/>
              <w:textAlignment w:val="baseline"/>
              <w:rPr>
                <w:rFonts w:hint="eastAsia" w:ascii="Times New Roman"/>
                <w:sz w:val="18"/>
                <w:szCs w:val="20"/>
                <w:lang w:eastAsia="zh-CN"/>
              </w:rPr>
            </w:pPr>
          </w:p>
        </w:tc>
        <w:tc>
          <w:tcPr>
            <w:tcW w:w="566" w:type="dxa"/>
            <w:vAlign w:val="center"/>
          </w:tcPr>
          <w:p>
            <w:pPr>
              <w:pStyle w:val="19"/>
              <w:snapToGrid w:val="0"/>
              <w:jc w:val="center"/>
              <w:textAlignment w:val="baseline"/>
              <w:rPr>
                <w:rFonts w:hint="eastAsia" w:ascii="Times New Roman"/>
                <w:sz w:val="18"/>
                <w:szCs w:val="20"/>
                <w:lang w:eastAsia="zh-CN"/>
              </w:rPr>
            </w:pPr>
          </w:p>
        </w:tc>
        <w:tc>
          <w:tcPr>
            <w:tcW w:w="588" w:type="dxa"/>
            <w:vAlign w:val="center"/>
          </w:tcPr>
          <w:p>
            <w:pPr>
              <w:pStyle w:val="19"/>
              <w:snapToGrid w:val="0"/>
              <w:jc w:val="center"/>
              <w:textAlignment w:val="baseline"/>
              <w:rPr>
                <w:rFonts w:hint="eastAsia" w:ascii="Times New Roman"/>
                <w:sz w:val="18"/>
                <w:szCs w:val="20"/>
                <w:lang w:eastAsia="zh-CN"/>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restart"/>
            <w:vAlign w:val="center"/>
          </w:tcPr>
          <w:p>
            <w:pPr>
              <w:pStyle w:val="19"/>
              <w:snapToGrid w:val="0"/>
              <w:jc w:val="center"/>
              <w:textAlignment w:val="baseline"/>
              <w:rPr>
                <w:rFonts w:hint="eastAsia"/>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0000011301</w:t>
            </w:r>
          </w:p>
        </w:tc>
        <w:tc>
          <w:tcPr>
            <w:tcW w:w="2504"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书法鉴赏</w:t>
            </w:r>
          </w:p>
        </w:tc>
        <w:tc>
          <w:tcPr>
            <w:tcW w:w="646" w:type="dxa"/>
            <w:gridSpan w:val="2"/>
            <w:vMerge w:val="continue"/>
            <w:tcBorders>
              <w:left w:val="single" w:color="auto" w:sz="4" w:space="0"/>
            </w:tcBorders>
            <w:vAlign w:val="center"/>
          </w:tcPr>
          <w:p>
            <w:pPr>
              <w:pStyle w:val="19"/>
              <w:snapToGrid w:val="0"/>
              <w:jc w:val="center"/>
              <w:textAlignment w:val="baseline"/>
              <w:rPr>
                <w:rFonts w:hint="eastAsia" w:ascii="Times New Roman"/>
                <w:sz w:val="18"/>
                <w:szCs w:val="20"/>
                <w:lang w:eastAsia="zh-CN"/>
              </w:rPr>
            </w:pPr>
          </w:p>
        </w:tc>
        <w:tc>
          <w:tcPr>
            <w:tcW w:w="615" w:type="dxa"/>
            <w:gridSpan w:val="2"/>
            <w:vMerge w:val="continue"/>
            <w:vAlign w:val="center"/>
          </w:tcPr>
          <w:p>
            <w:pPr>
              <w:pStyle w:val="19"/>
              <w:snapToGrid w:val="0"/>
              <w:ind w:left="440" w:leftChars="0"/>
              <w:jc w:val="center"/>
              <w:textAlignment w:val="baseline"/>
              <w:rPr>
                <w:rFonts w:hint="eastAsia" w:ascii="Times New Roman"/>
                <w:sz w:val="18"/>
                <w:szCs w:val="20"/>
                <w:lang w:eastAsia="zh-CN"/>
              </w:rPr>
            </w:pPr>
          </w:p>
        </w:tc>
        <w:tc>
          <w:tcPr>
            <w:tcW w:w="585" w:type="dxa"/>
            <w:vMerge w:val="continue"/>
            <w:vAlign w:val="center"/>
          </w:tcPr>
          <w:p>
            <w:pPr>
              <w:pStyle w:val="19"/>
              <w:snapToGrid w:val="0"/>
              <w:ind w:left="440" w:leftChars="0"/>
              <w:jc w:val="center"/>
              <w:textAlignment w:val="baseline"/>
              <w:rPr>
                <w:rFonts w:hint="eastAsia" w:ascii="Times New Roman"/>
                <w:sz w:val="18"/>
                <w:szCs w:val="20"/>
                <w:lang w:eastAsia="zh-CN"/>
              </w:rPr>
            </w:pPr>
          </w:p>
        </w:tc>
        <w:tc>
          <w:tcPr>
            <w:tcW w:w="565" w:type="dxa"/>
            <w:vAlign w:val="center"/>
          </w:tcPr>
          <w:p>
            <w:pPr>
              <w:pStyle w:val="19"/>
              <w:snapToGrid w:val="0"/>
              <w:jc w:val="center"/>
              <w:textAlignment w:val="baseline"/>
              <w:rPr>
                <w:rFonts w:hint="eastAsia" w:ascii="Times New Roman"/>
                <w:sz w:val="18"/>
                <w:szCs w:val="20"/>
                <w:lang w:eastAsia="zh-CN"/>
              </w:rPr>
            </w:pPr>
          </w:p>
        </w:tc>
        <w:tc>
          <w:tcPr>
            <w:tcW w:w="635" w:type="dxa"/>
            <w:vMerge w:val="continue"/>
            <w:vAlign w:val="center"/>
          </w:tcPr>
          <w:p>
            <w:pPr>
              <w:pStyle w:val="19"/>
              <w:snapToGrid w:val="0"/>
              <w:jc w:val="center"/>
              <w:textAlignment w:val="baseline"/>
              <w:rPr>
                <w:rFonts w:hint="eastAsia" w:ascii="Times New Roman"/>
                <w:sz w:val="18"/>
                <w:szCs w:val="20"/>
                <w:lang w:eastAsia="zh-CN"/>
              </w:rPr>
            </w:pPr>
          </w:p>
        </w:tc>
        <w:tc>
          <w:tcPr>
            <w:tcW w:w="508" w:type="dxa"/>
            <w:vAlign w:val="center"/>
          </w:tcPr>
          <w:p>
            <w:pPr>
              <w:pStyle w:val="19"/>
              <w:snapToGrid w:val="0"/>
              <w:jc w:val="center"/>
              <w:textAlignment w:val="baseline"/>
              <w:rPr>
                <w:rFonts w:hint="eastAsia" w:ascii="Times New Roman"/>
                <w:sz w:val="18"/>
                <w:szCs w:val="20"/>
                <w:lang w:eastAsia="zh-CN"/>
              </w:rPr>
            </w:pPr>
          </w:p>
        </w:tc>
        <w:tc>
          <w:tcPr>
            <w:tcW w:w="542" w:type="dxa"/>
            <w:vAlign w:val="center"/>
          </w:tcPr>
          <w:p>
            <w:pPr>
              <w:pStyle w:val="19"/>
              <w:snapToGrid w:val="0"/>
              <w:jc w:val="center"/>
              <w:textAlignment w:val="baseline"/>
              <w:rPr>
                <w:rFonts w:hint="eastAsia" w:ascii="Times New Roman"/>
                <w:sz w:val="18"/>
                <w:szCs w:val="20"/>
                <w:lang w:eastAsia="zh-CN"/>
              </w:rPr>
            </w:pPr>
          </w:p>
        </w:tc>
        <w:tc>
          <w:tcPr>
            <w:tcW w:w="496" w:type="dxa"/>
            <w:gridSpan w:val="2"/>
            <w:vAlign w:val="center"/>
          </w:tcPr>
          <w:p>
            <w:pPr>
              <w:pStyle w:val="19"/>
              <w:snapToGrid w:val="0"/>
              <w:jc w:val="center"/>
              <w:textAlignment w:val="baseline"/>
              <w:rPr>
                <w:rFonts w:hint="eastAsia" w:ascii="Times New Roman"/>
                <w:sz w:val="18"/>
                <w:szCs w:val="20"/>
                <w:lang w:eastAsia="zh-CN"/>
              </w:rPr>
            </w:pPr>
          </w:p>
        </w:tc>
        <w:tc>
          <w:tcPr>
            <w:tcW w:w="566" w:type="dxa"/>
            <w:vAlign w:val="center"/>
          </w:tcPr>
          <w:p>
            <w:pPr>
              <w:pStyle w:val="19"/>
              <w:snapToGrid w:val="0"/>
              <w:jc w:val="center"/>
              <w:textAlignment w:val="baseline"/>
              <w:rPr>
                <w:rFonts w:hint="eastAsia" w:ascii="Times New Roman"/>
                <w:sz w:val="18"/>
                <w:szCs w:val="20"/>
                <w:lang w:eastAsia="zh-CN"/>
              </w:rPr>
            </w:pPr>
          </w:p>
        </w:tc>
        <w:tc>
          <w:tcPr>
            <w:tcW w:w="588" w:type="dxa"/>
            <w:vAlign w:val="center"/>
          </w:tcPr>
          <w:p>
            <w:pPr>
              <w:pStyle w:val="19"/>
              <w:snapToGrid w:val="0"/>
              <w:jc w:val="center"/>
              <w:textAlignment w:val="baseline"/>
              <w:rPr>
                <w:rFonts w:hint="eastAsia" w:ascii="Times New Roman"/>
                <w:sz w:val="18"/>
                <w:szCs w:val="20"/>
                <w:lang w:eastAsia="zh-CN"/>
              </w:rPr>
            </w:pPr>
          </w:p>
        </w:tc>
        <w:tc>
          <w:tcPr>
            <w:tcW w:w="935" w:type="dxa"/>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vAlign w:val="center"/>
          </w:tcPr>
          <w:p>
            <w:pPr>
              <w:jc w:val="center"/>
              <w:rPr>
                <w:rFonts w:hint="eastAsia" w:ascii="宋体" w:hAnsi="宋体" w:eastAsia="宋体" w:cs="宋体"/>
                <w:b w:val="0"/>
                <w:bCs/>
                <w:sz w:val="18"/>
                <w:szCs w:val="18"/>
              </w:rPr>
            </w:pPr>
          </w:p>
        </w:tc>
        <w:tc>
          <w:tcPr>
            <w:tcW w:w="1269"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0000011308</w:t>
            </w:r>
          </w:p>
        </w:tc>
        <w:tc>
          <w:tcPr>
            <w:tcW w:w="2504" w:type="dxa"/>
            <w:tcBorders>
              <w:top w:val="single" w:color="auto" w:sz="4" w:space="0"/>
              <w:bottom w:val="single" w:color="auto" w:sz="4" w:space="0"/>
              <w:right w:val="single" w:color="auto" w:sz="4" w:space="0"/>
            </w:tcBorders>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中华优秀传统文化</w:t>
            </w:r>
          </w:p>
        </w:tc>
        <w:tc>
          <w:tcPr>
            <w:tcW w:w="646" w:type="dxa"/>
            <w:gridSpan w:val="2"/>
            <w:vMerge w:val="continue"/>
            <w:tcBorders>
              <w:left w:val="single" w:color="auto" w:sz="4" w:space="0"/>
            </w:tcBorders>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15" w:type="dxa"/>
            <w:gridSpan w:val="2"/>
            <w:vMerge w:val="continue"/>
            <w:vAlign w:val="center"/>
          </w:tcPr>
          <w:p>
            <w:pPr>
              <w:pStyle w:val="19"/>
              <w:snapToGrid w:val="0"/>
              <w:ind w:left="440" w:leftChars="0"/>
              <w:jc w:val="center"/>
              <w:textAlignment w:val="baseline"/>
              <w:rPr>
                <w:rFonts w:hint="eastAsia" w:ascii="Times New Roman" w:hAnsi="宋体" w:eastAsia="宋体" w:cs="宋体"/>
                <w:sz w:val="18"/>
                <w:szCs w:val="20"/>
                <w:lang w:val="en-US" w:eastAsia="zh-CN" w:bidi="ar-SA"/>
              </w:rPr>
            </w:pPr>
          </w:p>
        </w:tc>
        <w:tc>
          <w:tcPr>
            <w:tcW w:w="585" w:type="dxa"/>
            <w:vMerge w:val="continue"/>
            <w:vAlign w:val="center"/>
          </w:tcPr>
          <w:p>
            <w:pPr>
              <w:pStyle w:val="19"/>
              <w:snapToGrid w:val="0"/>
              <w:ind w:left="440" w:leftChars="0"/>
              <w:jc w:val="center"/>
              <w:textAlignment w:val="baseline"/>
              <w:rPr>
                <w:rFonts w:hint="eastAsia" w:ascii="Times New Roman" w:hAnsi="宋体" w:eastAsia="宋体" w:cs="宋体"/>
                <w:sz w:val="18"/>
                <w:szCs w:val="20"/>
                <w:lang w:val="en-US" w:eastAsia="zh-CN" w:bidi="ar-SA"/>
              </w:rPr>
            </w:pPr>
          </w:p>
        </w:tc>
        <w:tc>
          <w:tcPr>
            <w:tcW w:w="565" w:type="dxa"/>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35" w:type="dxa"/>
            <w:vMerge w:val="continue"/>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08" w:type="dxa"/>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42" w:type="dxa"/>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496" w:type="dxa"/>
            <w:gridSpan w:val="2"/>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6" w:type="dxa"/>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8" w:type="dxa"/>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935" w:type="dxa"/>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c>
          <w:tcPr>
            <w:tcW w:w="1512" w:type="dxa"/>
            <w:vMerge w:val="continue"/>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0000011322</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四史-新中国史</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p>
        </w:tc>
        <w:tc>
          <w:tcPr>
            <w:tcW w:w="615" w:type="dxa"/>
            <w:gridSpan w:val="2"/>
            <w:vMerge w:val="continue"/>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85" w:type="dxa"/>
            <w:vMerge w:val="continue"/>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eastAsia="zh-CN"/>
              </w:rPr>
            </w:pPr>
          </w:p>
        </w:tc>
        <w:tc>
          <w:tcPr>
            <w:tcW w:w="508" w:type="dxa"/>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0000011304</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舞蹈</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615" w:type="dxa"/>
            <w:gridSpan w:val="2"/>
            <w:vMerge w:val="continue"/>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vMerge w:val="continue"/>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0000011313</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高等数学2</w:t>
            </w:r>
          </w:p>
        </w:tc>
        <w:tc>
          <w:tcPr>
            <w:tcW w:w="646" w:type="dxa"/>
            <w:gridSpan w:val="2"/>
            <w:vMerge w:val="restart"/>
            <w:tcBorders>
              <w:lef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2</w:t>
            </w:r>
          </w:p>
        </w:tc>
        <w:tc>
          <w:tcPr>
            <w:tcW w:w="615" w:type="dxa"/>
            <w:gridSpan w:val="2"/>
            <w:vMerge w:val="restart"/>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36</w:t>
            </w:r>
          </w:p>
        </w:tc>
        <w:tc>
          <w:tcPr>
            <w:tcW w:w="585" w:type="dxa"/>
            <w:vMerge w:val="restart"/>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36</w:t>
            </w: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restart"/>
            <w:shd w:val="clear" w:color="auto" w:fill="auto"/>
            <w:vAlign w:val="center"/>
          </w:tcPr>
          <w:p>
            <w:pPr>
              <w:pStyle w:val="19"/>
              <w:snapToGrid w:val="0"/>
              <w:jc w:val="center"/>
              <w:textAlignment w:val="baseline"/>
              <w:rPr>
                <w:rFonts w:hint="default" w:ascii="Times New Roman"/>
                <w:sz w:val="18"/>
                <w:szCs w:val="20"/>
                <w:lang w:val="en-US" w:eastAsia="zh-CN"/>
              </w:rPr>
            </w:pPr>
            <w:r>
              <w:rPr>
                <w:rFonts w:hint="eastAsia"/>
                <w:sz w:val="18"/>
                <w:szCs w:val="18"/>
                <w:lang w:eastAsia="zh-CN"/>
              </w:rPr>
              <w:t>2</w:t>
            </w: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restart"/>
            <w:shd w:val="clear" w:color="auto" w:fill="auto"/>
            <w:vAlign w:val="center"/>
          </w:tcPr>
          <w:p>
            <w:pPr>
              <w:pStyle w:val="19"/>
              <w:snapToGrid w:val="0"/>
              <w:jc w:val="center"/>
              <w:textAlignment w:val="baseline"/>
              <w:rPr>
                <w:rFonts w:hint="eastAsia"/>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0000011303</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音乐</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15" w:type="dxa"/>
            <w:gridSpan w:val="2"/>
            <w:vMerge w:val="continue"/>
            <w:shd w:val="clear" w:color="auto" w:fill="auto"/>
            <w:vAlign w:val="center"/>
          </w:tcPr>
          <w:p>
            <w:pPr>
              <w:pStyle w:val="19"/>
              <w:snapToGrid w:val="0"/>
              <w:ind w:left="440" w:leftChars="0"/>
              <w:jc w:val="center"/>
              <w:textAlignment w:val="baseline"/>
              <w:rPr>
                <w:rFonts w:hint="eastAsia" w:ascii="Times New Roman" w:hAnsi="宋体" w:eastAsia="宋体" w:cs="宋体"/>
                <w:sz w:val="18"/>
                <w:szCs w:val="20"/>
                <w:lang w:val="en-US" w:eastAsia="zh-CN" w:bidi="ar-SA"/>
              </w:rPr>
            </w:pPr>
          </w:p>
        </w:tc>
        <w:tc>
          <w:tcPr>
            <w:tcW w:w="585" w:type="dxa"/>
            <w:vMerge w:val="continue"/>
            <w:shd w:val="clear" w:color="auto" w:fill="auto"/>
            <w:vAlign w:val="center"/>
          </w:tcPr>
          <w:p>
            <w:pPr>
              <w:pStyle w:val="19"/>
              <w:snapToGrid w:val="0"/>
              <w:ind w:left="440" w:leftChars="0"/>
              <w:jc w:val="center"/>
              <w:textAlignment w:val="baseline"/>
              <w:rPr>
                <w:rFonts w:hint="eastAsia" w:ascii="Times New Roman" w:hAnsi="宋体" w:eastAsia="宋体" w:cs="宋体"/>
                <w:sz w:val="18"/>
                <w:szCs w:val="20"/>
                <w:lang w:val="en-US" w:eastAsia="zh-CN" w:bidi="ar-SA"/>
              </w:rPr>
            </w:pPr>
          </w:p>
        </w:tc>
        <w:tc>
          <w:tcPr>
            <w:tcW w:w="56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3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08" w:type="dxa"/>
            <w:vMerge w:val="continue"/>
            <w:shd w:val="clear" w:color="auto" w:fill="auto"/>
            <w:vAlign w:val="center"/>
          </w:tcPr>
          <w:p>
            <w:pPr>
              <w:pStyle w:val="19"/>
              <w:snapToGrid w:val="0"/>
              <w:jc w:val="center"/>
              <w:textAlignment w:val="baseline"/>
              <w:rPr>
                <w:rFonts w:hint="default" w:ascii="Times New Roman" w:hAnsi="宋体" w:eastAsia="宋体" w:cs="宋体"/>
                <w:sz w:val="18"/>
                <w:szCs w:val="20"/>
                <w:lang w:val="en-US" w:eastAsia="zh-CN" w:bidi="ar-SA"/>
              </w:rPr>
            </w:pPr>
          </w:p>
        </w:tc>
        <w:tc>
          <w:tcPr>
            <w:tcW w:w="542"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496" w:type="dxa"/>
            <w:gridSpan w:val="2"/>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6"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8"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0000011323</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四史-改革开放史</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615" w:type="dxa"/>
            <w:gridSpan w:val="2"/>
            <w:vMerge w:val="continue"/>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85" w:type="dxa"/>
            <w:vMerge w:val="continue"/>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0000011308</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中华优秀传统文化</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615" w:type="dxa"/>
            <w:gridSpan w:val="2"/>
            <w:vMerge w:val="continue"/>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85" w:type="dxa"/>
            <w:vMerge w:val="continue"/>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color w:val="000000"/>
                <w:sz w:val="18"/>
                <w:szCs w:val="18"/>
                <w:shd w:val="clear" w:color="auto" w:fill="EEEEEE"/>
              </w:rPr>
              <w:t>0000011331</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书法</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15" w:type="dxa"/>
            <w:gridSpan w:val="2"/>
            <w:vMerge w:val="continue"/>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5" w:type="dxa"/>
            <w:vMerge w:val="continue"/>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3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08" w:type="dxa"/>
            <w:vMerge w:val="continue"/>
            <w:shd w:val="clear" w:color="auto" w:fill="auto"/>
            <w:vAlign w:val="center"/>
          </w:tcPr>
          <w:p>
            <w:pPr>
              <w:pStyle w:val="19"/>
              <w:snapToGrid w:val="0"/>
              <w:jc w:val="center"/>
              <w:textAlignment w:val="baseline"/>
              <w:rPr>
                <w:rFonts w:hint="default" w:ascii="Times New Roman" w:hAnsi="宋体" w:eastAsia="宋体" w:cs="宋体"/>
                <w:sz w:val="18"/>
                <w:szCs w:val="20"/>
                <w:lang w:val="en-US" w:eastAsia="zh-CN" w:bidi="ar-SA"/>
              </w:rPr>
            </w:pPr>
          </w:p>
        </w:tc>
        <w:tc>
          <w:tcPr>
            <w:tcW w:w="542"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496" w:type="dxa"/>
            <w:gridSpan w:val="2"/>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6"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8"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0000011317</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大学英语2</w:t>
            </w:r>
          </w:p>
        </w:tc>
        <w:tc>
          <w:tcPr>
            <w:tcW w:w="646" w:type="dxa"/>
            <w:gridSpan w:val="2"/>
            <w:vMerge w:val="restart"/>
            <w:tcBorders>
              <w:lef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2</w:t>
            </w:r>
          </w:p>
        </w:tc>
        <w:tc>
          <w:tcPr>
            <w:tcW w:w="615" w:type="dxa"/>
            <w:gridSpan w:val="2"/>
            <w:vMerge w:val="restart"/>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36</w:t>
            </w:r>
          </w:p>
        </w:tc>
        <w:tc>
          <w:tcPr>
            <w:tcW w:w="585" w:type="dxa"/>
            <w:vMerge w:val="restart"/>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36</w:t>
            </w:r>
          </w:p>
        </w:tc>
        <w:tc>
          <w:tcPr>
            <w:tcW w:w="56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3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08" w:type="dxa"/>
            <w:vMerge w:val="restart"/>
            <w:shd w:val="clear" w:color="auto" w:fill="auto"/>
            <w:vAlign w:val="center"/>
          </w:tcPr>
          <w:p>
            <w:pPr>
              <w:pStyle w:val="19"/>
              <w:snapToGrid w:val="0"/>
              <w:jc w:val="center"/>
              <w:textAlignment w:val="baseline"/>
              <w:rPr>
                <w:rFonts w:hint="default" w:ascii="Times New Roman" w:hAnsi="宋体" w:eastAsia="宋体" w:cs="宋体"/>
                <w:sz w:val="18"/>
                <w:szCs w:val="20"/>
                <w:lang w:val="en-US" w:eastAsia="zh-CN" w:bidi="ar-SA"/>
              </w:rPr>
            </w:pPr>
            <w:r>
              <w:rPr>
                <w:rFonts w:hint="eastAsia"/>
                <w:sz w:val="18"/>
                <w:szCs w:val="18"/>
                <w:lang w:eastAsia="zh-CN"/>
              </w:rPr>
              <w:t>2</w:t>
            </w:r>
          </w:p>
        </w:tc>
        <w:tc>
          <w:tcPr>
            <w:tcW w:w="542"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496" w:type="dxa"/>
            <w:gridSpan w:val="2"/>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6"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8"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c>
          <w:tcPr>
            <w:tcW w:w="1512" w:type="dxa"/>
            <w:vMerge w:val="restart"/>
            <w:shd w:val="clear" w:color="auto" w:fill="auto"/>
            <w:vAlign w:val="center"/>
          </w:tcPr>
          <w:p>
            <w:pPr>
              <w:pStyle w:val="19"/>
              <w:snapToGrid w:val="0"/>
              <w:jc w:val="center"/>
              <w:textAlignment w:val="baseline"/>
              <w:rPr>
                <w:rFonts w:hint="eastAsia"/>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0000011324</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四史-社会主义发展史</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15" w:type="dxa"/>
            <w:gridSpan w:val="2"/>
            <w:vMerge w:val="continue"/>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5" w:type="dxa"/>
            <w:vMerge w:val="continue"/>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3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08" w:type="dxa"/>
            <w:vMerge w:val="continue"/>
            <w:shd w:val="clear" w:color="auto" w:fill="auto"/>
            <w:vAlign w:val="center"/>
          </w:tcPr>
          <w:p>
            <w:pPr>
              <w:pStyle w:val="19"/>
              <w:snapToGrid w:val="0"/>
              <w:jc w:val="center"/>
              <w:textAlignment w:val="baseline"/>
              <w:rPr>
                <w:rFonts w:hint="default" w:ascii="Times New Roman" w:hAnsi="宋体" w:eastAsia="宋体" w:cs="宋体"/>
                <w:sz w:val="18"/>
                <w:szCs w:val="20"/>
                <w:lang w:val="en-US" w:eastAsia="zh-CN" w:bidi="ar-SA"/>
              </w:rPr>
            </w:pPr>
          </w:p>
        </w:tc>
        <w:tc>
          <w:tcPr>
            <w:tcW w:w="542"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496" w:type="dxa"/>
            <w:gridSpan w:val="2"/>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6"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8"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0000011329</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r>
              <w:rPr>
                <w:rFonts w:hint="eastAsia"/>
                <w:sz w:val="18"/>
                <w:szCs w:val="18"/>
                <w:lang w:eastAsia="zh-CN"/>
              </w:rPr>
              <w:t>沟通技巧2</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15" w:type="dxa"/>
            <w:gridSpan w:val="2"/>
            <w:vMerge w:val="continue"/>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5" w:type="dxa"/>
            <w:vMerge w:val="continue"/>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635"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08" w:type="dxa"/>
            <w:vMerge w:val="continue"/>
            <w:shd w:val="clear" w:color="auto" w:fill="auto"/>
            <w:vAlign w:val="center"/>
          </w:tcPr>
          <w:p>
            <w:pPr>
              <w:pStyle w:val="19"/>
              <w:snapToGrid w:val="0"/>
              <w:jc w:val="center"/>
              <w:textAlignment w:val="baseline"/>
              <w:rPr>
                <w:rFonts w:hint="default" w:ascii="Times New Roman" w:hAnsi="宋体" w:eastAsia="宋体" w:cs="宋体"/>
                <w:sz w:val="18"/>
                <w:szCs w:val="20"/>
                <w:lang w:val="en-US" w:eastAsia="zh-CN" w:bidi="ar-SA"/>
              </w:rPr>
            </w:pPr>
          </w:p>
        </w:tc>
        <w:tc>
          <w:tcPr>
            <w:tcW w:w="542"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496" w:type="dxa"/>
            <w:gridSpan w:val="2"/>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66"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588" w:type="dxa"/>
            <w:shd w:val="clear" w:color="auto" w:fill="auto"/>
            <w:vAlign w:val="center"/>
          </w:tcPr>
          <w:p>
            <w:pPr>
              <w:pStyle w:val="19"/>
              <w:snapToGrid w:val="0"/>
              <w:jc w:val="center"/>
              <w:textAlignment w:val="baseline"/>
              <w:rPr>
                <w:rFonts w:hint="eastAsia" w:ascii="Times New Roman" w:hAnsi="宋体" w:eastAsia="宋体" w:cs="宋体"/>
                <w:sz w:val="18"/>
                <w:szCs w:val="20"/>
                <w:lang w:val="en-US" w:eastAsia="zh-CN" w:bidi="ar-SA"/>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0000011305</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科技简史</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615" w:type="dxa"/>
            <w:gridSpan w:val="2"/>
            <w:vMerge w:val="continue"/>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vMerge w:val="continue"/>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FBE5D6" w:themeFill="accent2" w:themeFillTint="32"/>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0000011325</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安全教育</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eastAsia" w:ascii="Times New Roman"/>
                <w:sz w:val="18"/>
                <w:szCs w:val="20"/>
                <w:lang w:val="en-US" w:eastAsia="zh-CN"/>
              </w:rPr>
            </w:pPr>
          </w:p>
        </w:tc>
        <w:tc>
          <w:tcPr>
            <w:tcW w:w="615" w:type="dxa"/>
            <w:gridSpan w:val="2"/>
            <w:vMerge w:val="continue"/>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85" w:type="dxa"/>
            <w:vMerge w:val="continue"/>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635" w:type="dxa"/>
            <w:shd w:val="clear" w:color="auto" w:fill="auto"/>
            <w:vAlign w:val="center"/>
          </w:tcPr>
          <w:p>
            <w:pPr>
              <w:pStyle w:val="19"/>
              <w:snapToGrid w:val="0"/>
              <w:ind w:left="440" w:leftChars="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ind w:left="440" w:leftChars="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ind w:left="440" w:leftChars="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ind w:left="440" w:leftChars="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restart"/>
            <w:shd w:val="clear" w:color="auto" w:fill="auto"/>
            <w:vAlign w:val="center"/>
          </w:tcPr>
          <w:p>
            <w:pPr>
              <w:jc w:val="center"/>
              <w:rPr>
                <w:rFonts w:hint="eastAsia" w:cs="宋体"/>
                <w:b w:val="0"/>
                <w:bCs/>
                <w:sz w:val="18"/>
                <w:szCs w:val="18"/>
                <w:lang w:val="en-US" w:eastAsia="zh-CN"/>
              </w:rPr>
            </w:pPr>
            <w:r>
              <w:rPr>
                <w:rFonts w:hint="eastAsia" w:cs="宋体"/>
                <w:b w:val="0"/>
                <w:bCs/>
                <w:sz w:val="18"/>
                <w:szCs w:val="18"/>
                <w:lang w:val="en-US" w:eastAsia="zh-CN"/>
              </w:rPr>
              <w:t>线上</w:t>
            </w:r>
          </w:p>
          <w:p>
            <w:pPr>
              <w:jc w:val="center"/>
              <w:rPr>
                <w:rFonts w:hint="default" w:ascii="宋体" w:hAnsi="宋体" w:eastAsia="宋体" w:cs="宋体"/>
                <w:b w:val="0"/>
                <w:bCs/>
                <w:sz w:val="18"/>
                <w:szCs w:val="18"/>
                <w:lang w:val="en-US" w:eastAsia="zh-CN"/>
              </w:rPr>
            </w:pPr>
            <w:r>
              <w:rPr>
                <w:rFonts w:hint="eastAsia" w:cs="宋体"/>
                <w:b w:val="0"/>
                <w:bCs/>
                <w:sz w:val="18"/>
                <w:szCs w:val="18"/>
                <w:lang w:val="en-US" w:eastAsia="zh-CN"/>
              </w:rPr>
              <w:t>选修</w:t>
            </w: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0000041326</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幸福心理学</w:t>
            </w:r>
          </w:p>
        </w:tc>
        <w:tc>
          <w:tcPr>
            <w:tcW w:w="646" w:type="dxa"/>
            <w:gridSpan w:val="2"/>
            <w:vMerge w:val="restart"/>
            <w:tcBorders>
              <w:left w:val="single" w:color="auto" w:sz="4" w:space="0"/>
            </w:tcBorders>
            <w:shd w:val="clear" w:color="auto" w:fill="auto"/>
            <w:vAlign w:val="center"/>
          </w:tcPr>
          <w:p>
            <w:pPr>
              <w:pStyle w:val="19"/>
              <w:snapToGrid w:val="0"/>
              <w:jc w:val="center"/>
              <w:textAlignment w:val="baseline"/>
              <w:rPr>
                <w:rFonts w:hint="default" w:ascii="Times New Roman"/>
                <w:sz w:val="18"/>
                <w:szCs w:val="20"/>
                <w:lang w:val="en-US" w:eastAsia="zh-CN"/>
              </w:rPr>
            </w:pPr>
            <w:r>
              <w:rPr>
                <w:rFonts w:hint="eastAsia"/>
                <w:sz w:val="18"/>
                <w:szCs w:val="18"/>
                <w:lang w:eastAsia="zh-CN"/>
              </w:rPr>
              <w:t>4</w:t>
            </w: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restart"/>
            <w:shd w:val="clear" w:color="auto" w:fill="auto"/>
            <w:vAlign w:val="center"/>
          </w:tcPr>
          <w:p>
            <w:pPr>
              <w:pStyle w:val="19"/>
              <w:snapToGrid w:val="0"/>
              <w:jc w:val="center"/>
              <w:textAlignment w:val="baseline"/>
              <w:rPr>
                <w:rFonts w:hint="eastAsia" w:ascii="Times New Roman"/>
                <w:sz w:val="18"/>
                <w:szCs w:val="20"/>
                <w:lang w:val="en-US" w:eastAsia="zh-CN"/>
              </w:rPr>
            </w:pPr>
            <w:r>
              <w:rPr>
                <w:sz w:val="18"/>
                <w:szCs w:val="18"/>
                <w:lang w:eastAsia="zh-CN"/>
              </w:rPr>
              <w:t>业余时间</w:t>
            </w:r>
          </w:p>
        </w:tc>
        <w:tc>
          <w:tcPr>
            <w:tcW w:w="508" w:type="dxa"/>
            <w:vMerge w:val="restart"/>
            <w:shd w:val="clear" w:color="auto" w:fill="auto"/>
            <w:vAlign w:val="center"/>
          </w:tcPr>
          <w:p>
            <w:pPr>
              <w:pStyle w:val="19"/>
              <w:snapToGrid w:val="0"/>
              <w:jc w:val="center"/>
              <w:textAlignment w:val="baseline"/>
              <w:rPr>
                <w:rFonts w:hint="default" w:ascii="Times New Roman"/>
                <w:sz w:val="18"/>
                <w:szCs w:val="20"/>
                <w:lang w:val="en-US" w:eastAsia="zh-CN"/>
              </w:rPr>
            </w:pPr>
            <w:r>
              <w:rPr>
                <w:sz w:val="18"/>
                <w:szCs w:val="18"/>
                <w:lang w:eastAsia="zh-CN"/>
              </w:rPr>
              <w:t>业余时间</w:t>
            </w: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restart"/>
            <w:shd w:val="clear" w:color="auto" w:fill="auto"/>
            <w:vAlign w:val="center"/>
          </w:tcPr>
          <w:p>
            <w:pPr>
              <w:pStyle w:val="19"/>
              <w:numPr>
                <w:ilvl w:val="0"/>
                <w:numId w:val="4"/>
              </w:numPr>
              <w:snapToGrid w:val="0"/>
              <w:ind w:firstLine="180" w:firstLineChars="100"/>
              <w:jc w:val="both"/>
              <w:textAlignment w:val="baseline"/>
              <w:rPr>
                <w:rFonts w:hint="eastAsia"/>
                <w:sz w:val="18"/>
                <w:szCs w:val="18"/>
                <w:lang w:eastAsia="zh-CN"/>
              </w:rPr>
            </w:pPr>
            <w:r>
              <w:rPr>
                <w:rFonts w:hint="eastAsia"/>
                <w:sz w:val="18"/>
                <w:szCs w:val="18"/>
                <w:lang w:eastAsia="zh-CN"/>
              </w:rPr>
              <w:t>二学期</w:t>
            </w:r>
          </w:p>
          <w:p>
            <w:pPr>
              <w:pStyle w:val="19"/>
              <w:numPr>
                <w:ilvl w:val="0"/>
                <w:numId w:val="0"/>
              </w:numPr>
              <w:snapToGrid w:val="0"/>
              <w:ind w:firstLine="180" w:firstLineChars="100"/>
              <w:jc w:val="both"/>
              <w:textAlignment w:val="baseline"/>
              <w:rPr>
                <w:rFonts w:hint="eastAsia"/>
                <w:sz w:val="18"/>
                <w:szCs w:val="18"/>
                <w:lang w:eastAsia="zh-CN"/>
              </w:rPr>
            </w:pPr>
            <w:r>
              <w:rPr>
                <w:rFonts w:hint="eastAsia"/>
                <w:sz w:val="18"/>
                <w:szCs w:val="18"/>
                <w:lang w:eastAsia="zh-CN"/>
              </w:rPr>
              <w:t>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auto"/>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0000041101</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公共关系礼仪实务</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auto"/>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0000041102</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辩论修养</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auto"/>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0000041103</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职场心理</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auto"/>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0000041104</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商业计划书的优化</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auto"/>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0000041105</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中医健康理念</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auto"/>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0000041106</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教师口语艺术</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auto"/>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0000041107</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组织行为学</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jc w:val="center"/>
              <w:rPr>
                <w:rFonts w:hint="eastAsia" w:ascii="宋体" w:hAnsi="宋体" w:eastAsia="宋体" w:cs="宋体"/>
                <w:b w:val="0"/>
                <w:bCs/>
                <w:sz w:val="18"/>
                <w:szCs w:val="18"/>
              </w:rPr>
            </w:pPr>
          </w:p>
        </w:tc>
        <w:tc>
          <w:tcPr>
            <w:tcW w:w="606" w:type="dxa"/>
            <w:gridSpan w:val="2"/>
            <w:vMerge w:val="continue"/>
            <w:shd w:val="clear" w:color="auto" w:fill="auto"/>
            <w:vAlign w:val="center"/>
          </w:tcPr>
          <w:p>
            <w:pPr>
              <w:jc w:val="center"/>
              <w:rPr>
                <w:rFonts w:hint="eastAsia" w:ascii="宋体" w:hAnsi="宋体" w:eastAsia="宋体" w:cs="宋体"/>
                <w:b w:val="0"/>
                <w:bCs/>
                <w:sz w:val="18"/>
                <w:szCs w:val="18"/>
                <w:lang w:eastAsia="zh-CN"/>
              </w:rPr>
            </w:pPr>
          </w:p>
        </w:tc>
        <w:tc>
          <w:tcPr>
            <w:tcW w:w="1269"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eastAsia="zh-CN"/>
              </w:rPr>
            </w:pPr>
            <w:r>
              <w:rPr>
                <w:rFonts w:hint="eastAsia"/>
                <w:sz w:val="18"/>
                <w:szCs w:val="18"/>
                <w:lang w:eastAsia="zh-CN"/>
              </w:rPr>
              <w:t>0000041108</w:t>
            </w:r>
          </w:p>
        </w:tc>
        <w:tc>
          <w:tcPr>
            <w:tcW w:w="2504" w:type="dxa"/>
            <w:tcBorders>
              <w:left w:val="single" w:color="auto" w:sz="4" w:space="0"/>
              <w:bottom w:val="single" w:color="auto" w:sz="4" w:space="0"/>
              <w:right w:val="single" w:color="auto" w:sz="4" w:space="0"/>
            </w:tcBorders>
            <w:shd w:val="clear" w:color="auto" w:fill="auto"/>
            <w:vAlign w:val="center"/>
          </w:tcPr>
          <w:p>
            <w:pPr>
              <w:pStyle w:val="19"/>
              <w:snapToGrid w:val="0"/>
              <w:jc w:val="center"/>
              <w:textAlignment w:val="baseline"/>
              <w:rPr>
                <w:rFonts w:hint="eastAsia" w:ascii="Times New Roman"/>
                <w:sz w:val="18"/>
                <w:szCs w:val="20"/>
                <w:lang w:val="en-US" w:eastAsia="zh-CN"/>
              </w:rPr>
            </w:pPr>
            <w:r>
              <w:rPr>
                <w:rFonts w:hint="eastAsia"/>
                <w:sz w:val="18"/>
                <w:szCs w:val="18"/>
                <w:lang w:eastAsia="zh-CN"/>
              </w:rPr>
              <w:t>创新思维</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default" w:ascii="Times New Roman"/>
                <w:sz w:val="18"/>
                <w:szCs w:val="20"/>
                <w:lang w:val="en-US" w:eastAsia="zh-CN"/>
              </w:rPr>
            </w:pPr>
          </w:p>
        </w:tc>
        <w:tc>
          <w:tcPr>
            <w:tcW w:w="615" w:type="dxa"/>
            <w:gridSpan w:val="2"/>
            <w:shd w:val="clear" w:color="auto" w:fill="auto"/>
            <w:vAlign w:val="center"/>
          </w:tcPr>
          <w:p>
            <w:pPr>
              <w:pStyle w:val="19"/>
              <w:snapToGrid w:val="0"/>
              <w:jc w:val="center"/>
              <w:textAlignment w:val="baseline"/>
              <w:rPr>
                <w:rFonts w:hint="eastAsia" w:ascii="Times New Roman"/>
                <w:sz w:val="18"/>
                <w:szCs w:val="20"/>
                <w:lang w:eastAsia="zh-CN"/>
              </w:rPr>
            </w:pPr>
          </w:p>
        </w:tc>
        <w:tc>
          <w:tcPr>
            <w:tcW w:w="58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65"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635" w:type="dxa"/>
            <w:vMerge w:val="continue"/>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08" w:type="dxa"/>
            <w:vMerge w:val="continue"/>
            <w:shd w:val="clear" w:color="auto" w:fill="auto"/>
            <w:vAlign w:val="center"/>
          </w:tcPr>
          <w:p>
            <w:pPr>
              <w:pStyle w:val="19"/>
              <w:snapToGrid w:val="0"/>
              <w:jc w:val="center"/>
              <w:textAlignment w:val="baseline"/>
              <w:rPr>
                <w:rFonts w:hint="default" w:ascii="Times New Roman"/>
                <w:sz w:val="18"/>
                <w:szCs w:val="20"/>
                <w:lang w:val="en-US" w:eastAsia="zh-CN"/>
              </w:rPr>
            </w:pPr>
          </w:p>
        </w:tc>
        <w:tc>
          <w:tcPr>
            <w:tcW w:w="542" w:type="dxa"/>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496" w:type="dxa"/>
            <w:gridSpan w:val="2"/>
            <w:shd w:val="clear" w:color="auto" w:fill="auto"/>
            <w:vAlign w:val="center"/>
          </w:tcPr>
          <w:p>
            <w:pPr>
              <w:pStyle w:val="19"/>
              <w:snapToGrid w:val="0"/>
              <w:jc w:val="center"/>
              <w:textAlignment w:val="baseline"/>
              <w:rPr>
                <w:rFonts w:hint="eastAsia" w:ascii="Times New Roman"/>
                <w:sz w:val="18"/>
                <w:szCs w:val="20"/>
                <w:lang w:val="en-US" w:eastAsia="zh-CN"/>
              </w:rPr>
            </w:pPr>
          </w:p>
        </w:tc>
        <w:tc>
          <w:tcPr>
            <w:tcW w:w="566"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588" w:type="dxa"/>
            <w:shd w:val="clear" w:color="auto" w:fill="auto"/>
            <w:vAlign w:val="center"/>
          </w:tcPr>
          <w:p>
            <w:pPr>
              <w:pStyle w:val="19"/>
              <w:snapToGrid w:val="0"/>
              <w:jc w:val="center"/>
              <w:textAlignment w:val="baseline"/>
              <w:rPr>
                <w:rFonts w:hint="eastAsia" w:ascii="Times New Roman"/>
                <w:sz w:val="18"/>
                <w:szCs w:val="20"/>
                <w:lang w:eastAsia="zh-CN"/>
              </w:rPr>
            </w:pPr>
          </w:p>
        </w:tc>
        <w:tc>
          <w:tcPr>
            <w:tcW w:w="935" w:type="dxa"/>
            <w:shd w:val="clear" w:color="auto" w:fill="auto"/>
            <w:vAlign w:val="center"/>
          </w:tcPr>
          <w:p>
            <w:pPr>
              <w:pStyle w:val="19"/>
              <w:snapToGrid w:val="0"/>
              <w:textAlignment w:val="baseline"/>
              <w:rPr>
                <w:rFonts w:hint="eastAsia" w:ascii="宋体" w:hAnsi="宋体" w:eastAsia="宋体" w:cs="宋体"/>
                <w:b w:val="0"/>
                <w:bCs/>
                <w:sz w:val="18"/>
                <w:szCs w:val="18"/>
              </w:rPr>
            </w:pPr>
          </w:p>
        </w:tc>
        <w:tc>
          <w:tcPr>
            <w:tcW w:w="1512" w:type="dxa"/>
            <w:vMerge w:val="continue"/>
            <w:shd w:val="clear" w:color="auto" w:fill="auto"/>
            <w:vAlign w:val="center"/>
          </w:tcPr>
          <w:p>
            <w:pPr>
              <w:pStyle w:val="19"/>
              <w:snapToGrid w:val="0"/>
              <w:textAlignment w:val="baseline"/>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269" w:type="dxa"/>
            <w:tcBorders>
              <w:right w:val="single" w:color="auto" w:sz="4" w:space="0"/>
            </w:tcBorders>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0000041109</w:t>
            </w:r>
          </w:p>
        </w:tc>
        <w:tc>
          <w:tcPr>
            <w:tcW w:w="2504" w:type="dxa"/>
            <w:tcBorders>
              <w:right w:val="single" w:color="auto" w:sz="4" w:space="0"/>
            </w:tcBorders>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化妆品赏析与应用</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615" w:type="dxa"/>
            <w:gridSpan w:val="2"/>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58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56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635" w:type="dxa"/>
            <w:vMerge w:val="continue"/>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Merge w:val="continue"/>
            <w:shd w:val="clear" w:color="auto" w:fill="auto"/>
            <w:vAlign w:val="center"/>
          </w:tcPr>
          <w:p>
            <w:pPr>
              <w:pStyle w:val="19"/>
              <w:snapToGrid w:val="0"/>
              <w:jc w:val="center"/>
              <w:textAlignment w:val="baseline"/>
              <w:rPr>
                <w:rFonts w:hint="default" w:ascii="宋体" w:hAnsi="宋体" w:eastAsia="宋体" w:cs="宋体"/>
                <w:b w:val="0"/>
                <w:bCs/>
                <w:sz w:val="18"/>
                <w:szCs w:val="18"/>
                <w:lang w:val="en-US" w:eastAsia="zh-CN"/>
              </w:rPr>
            </w:pPr>
          </w:p>
        </w:tc>
        <w:tc>
          <w:tcPr>
            <w:tcW w:w="542" w:type="dxa"/>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496" w:type="dxa"/>
            <w:gridSpan w:val="2"/>
            <w:shd w:val="clear" w:color="auto" w:fill="auto"/>
            <w:vAlign w:val="center"/>
          </w:tcPr>
          <w:p>
            <w:pPr>
              <w:pStyle w:val="19"/>
              <w:snapToGrid w:val="0"/>
              <w:jc w:val="center"/>
              <w:textAlignment w:val="baseline"/>
              <w:rPr>
                <w:rFonts w:hint="eastAsia" w:ascii="宋体" w:hAnsi="宋体" w:eastAsia="宋体" w:cs="宋体"/>
                <w:b w:val="0"/>
                <w:bCs/>
                <w:sz w:val="18"/>
                <w:szCs w:val="18"/>
                <w:lang w:val="en-US" w:eastAsia="zh-CN"/>
              </w:rPr>
            </w:pPr>
          </w:p>
        </w:tc>
        <w:tc>
          <w:tcPr>
            <w:tcW w:w="566"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588"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935" w:type="dxa"/>
            <w:shd w:val="clear" w:color="auto" w:fill="auto"/>
            <w:vAlign w:val="center"/>
          </w:tcPr>
          <w:p>
            <w:pPr>
              <w:keepNext w:val="0"/>
              <w:keepLines w:val="0"/>
              <w:widowControl/>
              <w:suppressLineNumbers w:val="0"/>
              <w:jc w:val="center"/>
              <w:textAlignment w:val="top"/>
              <w:rPr>
                <w:rFonts w:hint="eastAsia" w:ascii="宋体" w:hAnsi="宋体" w:eastAsia="宋体" w:cs="宋体"/>
                <w:b w:val="0"/>
                <w:bCs/>
                <w:sz w:val="18"/>
                <w:szCs w:val="18"/>
              </w:rPr>
            </w:pPr>
          </w:p>
        </w:tc>
        <w:tc>
          <w:tcPr>
            <w:tcW w:w="1512" w:type="dxa"/>
            <w:vMerge w:val="continue"/>
            <w:shd w:val="clear" w:color="auto" w:fill="auto"/>
            <w:vAlign w:val="center"/>
          </w:tcPr>
          <w:p>
            <w:pPr>
              <w:keepNext w:val="0"/>
              <w:keepLines w:val="0"/>
              <w:widowControl/>
              <w:suppressLineNumbers w:val="0"/>
              <w:jc w:val="center"/>
              <w:textAlignment w:val="top"/>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269" w:type="dxa"/>
            <w:tcBorders>
              <w:right w:val="single" w:color="auto" w:sz="4" w:space="0"/>
            </w:tcBorders>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0000041110</w:t>
            </w:r>
          </w:p>
        </w:tc>
        <w:tc>
          <w:tcPr>
            <w:tcW w:w="2504" w:type="dxa"/>
            <w:tcBorders>
              <w:right w:val="single" w:color="auto" w:sz="4" w:space="0"/>
            </w:tcBorders>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情商与智慧人生</w:t>
            </w:r>
          </w:p>
        </w:tc>
        <w:tc>
          <w:tcPr>
            <w:tcW w:w="646" w:type="dxa"/>
            <w:gridSpan w:val="2"/>
            <w:vMerge w:val="continue"/>
            <w:tcBorders>
              <w:left w:val="single" w:color="auto" w:sz="4" w:space="0"/>
            </w:tcBorders>
            <w:shd w:val="clear" w:color="auto" w:fill="auto"/>
            <w:vAlign w:val="center"/>
          </w:tcPr>
          <w:p>
            <w:pPr>
              <w:pStyle w:val="19"/>
              <w:snapToGrid w:val="0"/>
              <w:ind w:left="440" w:leftChars="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615" w:type="dxa"/>
            <w:gridSpan w:val="2"/>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58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56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635" w:type="dxa"/>
            <w:vMerge w:val="continue"/>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Merge w:val="continue"/>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496" w:type="dxa"/>
            <w:gridSpan w:val="2"/>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66" w:type="dxa"/>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88" w:type="dxa"/>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935" w:type="dxa"/>
            <w:shd w:val="clear" w:color="auto" w:fill="auto"/>
            <w:vAlign w:val="center"/>
          </w:tcPr>
          <w:p>
            <w:pPr>
              <w:keepNext w:val="0"/>
              <w:keepLines w:val="0"/>
              <w:widowControl/>
              <w:suppressLineNumbers w:val="0"/>
              <w:jc w:val="center"/>
              <w:textAlignment w:val="top"/>
              <w:rPr>
                <w:rFonts w:hint="eastAsia" w:ascii="宋体" w:hAnsi="宋体" w:eastAsia="宋体" w:cs="宋体"/>
                <w:b w:val="0"/>
                <w:bCs/>
                <w:sz w:val="18"/>
                <w:szCs w:val="18"/>
              </w:rPr>
            </w:pPr>
          </w:p>
        </w:tc>
        <w:tc>
          <w:tcPr>
            <w:tcW w:w="1512" w:type="dxa"/>
            <w:vMerge w:val="continue"/>
            <w:shd w:val="clear" w:color="auto" w:fill="auto"/>
            <w:vAlign w:val="center"/>
          </w:tcPr>
          <w:p>
            <w:pPr>
              <w:keepNext w:val="0"/>
              <w:keepLines w:val="0"/>
              <w:widowControl/>
              <w:suppressLineNumbers w:val="0"/>
              <w:jc w:val="center"/>
              <w:textAlignment w:val="top"/>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269" w:type="dxa"/>
            <w:tcBorders>
              <w:right w:val="single" w:color="auto" w:sz="4" w:space="0"/>
            </w:tcBorders>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0000041111</w:t>
            </w:r>
          </w:p>
        </w:tc>
        <w:tc>
          <w:tcPr>
            <w:tcW w:w="2504" w:type="dxa"/>
            <w:tcBorders>
              <w:right w:val="single" w:color="auto" w:sz="4" w:space="0"/>
            </w:tcBorders>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现代自然地理学</w:t>
            </w:r>
          </w:p>
        </w:tc>
        <w:tc>
          <w:tcPr>
            <w:tcW w:w="646" w:type="dxa"/>
            <w:gridSpan w:val="2"/>
            <w:vMerge w:val="continue"/>
            <w:tcBorders>
              <w:left w:val="single" w:color="auto" w:sz="4" w:space="0"/>
            </w:tcBorders>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615" w:type="dxa"/>
            <w:gridSpan w:val="2"/>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58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565" w:type="dxa"/>
            <w:shd w:val="clear" w:color="auto" w:fill="auto"/>
            <w:vAlign w:val="center"/>
          </w:tcPr>
          <w:p>
            <w:pPr>
              <w:pStyle w:val="19"/>
              <w:snapToGrid w:val="0"/>
              <w:jc w:val="center"/>
              <w:textAlignment w:val="baseline"/>
              <w:rPr>
                <w:rFonts w:hint="eastAsia" w:ascii="宋体" w:hAnsi="宋体" w:eastAsia="宋体" w:cs="宋体"/>
                <w:b w:val="0"/>
                <w:bCs/>
                <w:sz w:val="18"/>
                <w:szCs w:val="18"/>
              </w:rPr>
            </w:pPr>
          </w:p>
        </w:tc>
        <w:tc>
          <w:tcPr>
            <w:tcW w:w="635" w:type="dxa"/>
            <w:vMerge w:val="continue"/>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08" w:type="dxa"/>
            <w:vMerge w:val="continue"/>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42" w:type="dxa"/>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496" w:type="dxa"/>
            <w:gridSpan w:val="2"/>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66" w:type="dxa"/>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588" w:type="dxa"/>
            <w:shd w:val="clear" w:color="auto" w:fill="auto"/>
            <w:vAlign w:val="center"/>
          </w:tcPr>
          <w:p>
            <w:pPr>
              <w:pStyle w:val="19"/>
              <w:snapToGrid w:val="0"/>
              <w:jc w:val="center"/>
              <w:textAlignment w:val="baseline"/>
              <w:rPr>
                <w:rFonts w:hint="eastAsia" w:ascii="宋体" w:hAnsi="宋体" w:eastAsia="宋体" w:cs="宋体"/>
                <w:i w:val="0"/>
                <w:iCs w:val="0"/>
                <w:color w:val="000000"/>
                <w:kern w:val="0"/>
                <w:sz w:val="18"/>
                <w:szCs w:val="18"/>
                <w:u w:val="none"/>
                <w:lang w:val="en-US" w:eastAsia="zh-CN" w:bidi="ar"/>
              </w:rPr>
            </w:pPr>
          </w:p>
        </w:tc>
        <w:tc>
          <w:tcPr>
            <w:tcW w:w="935" w:type="dxa"/>
            <w:shd w:val="clear" w:color="auto" w:fill="auto"/>
            <w:vAlign w:val="center"/>
          </w:tcPr>
          <w:p>
            <w:pPr>
              <w:keepNext w:val="0"/>
              <w:keepLines w:val="0"/>
              <w:widowControl/>
              <w:suppressLineNumbers w:val="0"/>
              <w:jc w:val="center"/>
              <w:textAlignment w:val="top"/>
              <w:rPr>
                <w:rFonts w:hint="eastAsia" w:ascii="宋体" w:hAnsi="宋体" w:eastAsia="宋体" w:cs="宋体"/>
                <w:b w:val="0"/>
                <w:bCs/>
                <w:sz w:val="18"/>
                <w:szCs w:val="18"/>
              </w:rPr>
            </w:pPr>
          </w:p>
        </w:tc>
        <w:tc>
          <w:tcPr>
            <w:tcW w:w="1512" w:type="dxa"/>
            <w:vMerge w:val="continue"/>
            <w:shd w:val="clear" w:color="auto" w:fill="auto"/>
            <w:vAlign w:val="center"/>
          </w:tcPr>
          <w:p>
            <w:pPr>
              <w:keepNext w:val="0"/>
              <w:keepLines w:val="0"/>
              <w:widowControl/>
              <w:suppressLineNumbers w:val="0"/>
              <w:jc w:val="center"/>
              <w:textAlignment w:val="top"/>
              <w:rPr>
                <w:rFonts w:hint="eastAsia" w:ascii="宋体" w:hAnsi="宋体" w:eastAsia="宋体" w:cs="宋体"/>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010" w:type="dxa"/>
            <w:gridSpan w:val="6"/>
            <w:tcBorders>
              <w:right w:val="single" w:color="auto" w:sz="4" w:space="0"/>
            </w:tcBorders>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r>
              <w:rPr>
                <w:rFonts w:hint="eastAsia"/>
                <w:sz w:val="18"/>
                <w:szCs w:val="18"/>
                <w:lang w:val="en-US" w:eastAsia="zh-CN"/>
              </w:rPr>
              <w:t>合</w:t>
            </w:r>
            <w:r>
              <w:rPr>
                <w:rFonts w:hint="eastAsia"/>
                <w:sz w:val="18"/>
                <w:szCs w:val="18"/>
                <w:lang w:eastAsia="zh-CN"/>
              </w:rPr>
              <w:t>计</w:t>
            </w:r>
          </w:p>
        </w:tc>
        <w:tc>
          <w:tcPr>
            <w:tcW w:w="646" w:type="dxa"/>
            <w:gridSpan w:val="2"/>
            <w:tcBorders>
              <w:left w:val="single" w:color="auto" w:sz="4" w:space="0"/>
            </w:tcBorders>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r>
              <w:rPr>
                <w:rFonts w:hint="eastAsia"/>
                <w:sz w:val="18"/>
                <w:szCs w:val="18"/>
                <w:lang w:eastAsia="zh-CN"/>
              </w:rPr>
              <w:t>43</w:t>
            </w:r>
          </w:p>
        </w:tc>
        <w:tc>
          <w:tcPr>
            <w:tcW w:w="615" w:type="dxa"/>
            <w:gridSpan w:val="2"/>
            <w:shd w:val="clear" w:color="auto" w:fill="F7CAAC" w:themeFill="accent2" w:themeFillTint="66"/>
            <w:vAlign w:val="center"/>
          </w:tcPr>
          <w:p>
            <w:pPr>
              <w:pStyle w:val="19"/>
              <w:snapToGrid w:val="0"/>
              <w:jc w:val="center"/>
              <w:textAlignment w:val="baseline"/>
              <w:rPr>
                <w:rFonts w:hint="default" w:ascii="宋体" w:hAnsi="宋体" w:eastAsia="宋体" w:cs="宋体"/>
                <w:sz w:val="18"/>
                <w:szCs w:val="18"/>
                <w:lang w:val="en-US" w:eastAsia="zh-CN" w:bidi="ar-SA"/>
              </w:rPr>
            </w:pPr>
            <w:r>
              <w:rPr>
                <w:rFonts w:hint="eastAsia"/>
                <w:sz w:val="18"/>
                <w:szCs w:val="18"/>
                <w:lang w:val="en-US" w:eastAsia="zh-CN"/>
              </w:rPr>
              <w:t>662</w:t>
            </w:r>
          </w:p>
        </w:tc>
        <w:tc>
          <w:tcPr>
            <w:tcW w:w="585" w:type="dxa"/>
            <w:shd w:val="clear" w:color="auto" w:fill="F7CAAC" w:themeFill="accent2" w:themeFillTint="66"/>
            <w:vAlign w:val="center"/>
          </w:tcPr>
          <w:p>
            <w:pPr>
              <w:pStyle w:val="19"/>
              <w:snapToGrid w:val="0"/>
              <w:jc w:val="center"/>
              <w:textAlignment w:val="baseline"/>
              <w:rPr>
                <w:rFonts w:hint="default" w:ascii="宋体" w:hAnsi="宋体" w:eastAsia="宋体" w:cs="宋体"/>
                <w:sz w:val="18"/>
                <w:szCs w:val="18"/>
                <w:lang w:val="en-US" w:eastAsia="zh-CN" w:bidi="ar-SA"/>
              </w:rPr>
            </w:pPr>
            <w:r>
              <w:rPr>
                <w:rFonts w:hint="eastAsia" w:cs="宋体"/>
                <w:sz w:val="18"/>
                <w:szCs w:val="18"/>
                <w:lang w:val="en-US" w:eastAsia="zh-CN" w:bidi="ar-SA"/>
              </w:rPr>
              <w:t>538</w:t>
            </w:r>
          </w:p>
        </w:tc>
        <w:tc>
          <w:tcPr>
            <w:tcW w:w="565" w:type="dxa"/>
            <w:shd w:val="clear" w:color="auto" w:fill="F7CAAC" w:themeFill="accent2" w:themeFillTint="66"/>
            <w:vAlign w:val="center"/>
          </w:tcPr>
          <w:p>
            <w:pPr>
              <w:pStyle w:val="19"/>
              <w:snapToGrid w:val="0"/>
              <w:jc w:val="center"/>
              <w:textAlignment w:val="baseline"/>
              <w:rPr>
                <w:rFonts w:hint="default" w:ascii="宋体" w:hAnsi="宋体" w:eastAsia="宋体" w:cs="宋体"/>
                <w:sz w:val="18"/>
                <w:szCs w:val="18"/>
                <w:lang w:val="en-US" w:eastAsia="zh-CN" w:bidi="ar-SA"/>
              </w:rPr>
            </w:pPr>
            <w:r>
              <w:rPr>
                <w:rFonts w:hint="eastAsia" w:cs="宋体"/>
                <w:sz w:val="18"/>
                <w:szCs w:val="18"/>
                <w:lang w:val="en-US" w:eastAsia="zh-CN" w:bidi="ar-SA"/>
              </w:rPr>
              <w:t>124</w:t>
            </w:r>
          </w:p>
        </w:tc>
        <w:tc>
          <w:tcPr>
            <w:tcW w:w="635" w:type="dxa"/>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r>
              <w:rPr>
                <w:rFonts w:hint="eastAsia"/>
                <w:sz w:val="18"/>
                <w:szCs w:val="18"/>
                <w:lang w:eastAsia="zh-CN"/>
              </w:rPr>
              <w:t>16</w:t>
            </w:r>
          </w:p>
        </w:tc>
        <w:tc>
          <w:tcPr>
            <w:tcW w:w="508" w:type="dxa"/>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r>
              <w:rPr>
                <w:rFonts w:hint="eastAsia"/>
                <w:sz w:val="18"/>
                <w:szCs w:val="18"/>
                <w:lang w:eastAsia="zh-CN"/>
              </w:rPr>
              <w:t>14</w:t>
            </w:r>
          </w:p>
        </w:tc>
        <w:tc>
          <w:tcPr>
            <w:tcW w:w="542" w:type="dxa"/>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r>
              <w:rPr>
                <w:rFonts w:hint="eastAsia"/>
                <w:sz w:val="18"/>
                <w:szCs w:val="18"/>
                <w:lang w:eastAsia="zh-CN"/>
              </w:rPr>
              <w:t>2</w:t>
            </w:r>
          </w:p>
        </w:tc>
        <w:tc>
          <w:tcPr>
            <w:tcW w:w="496" w:type="dxa"/>
            <w:gridSpan w:val="2"/>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r>
              <w:rPr>
                <w:rFonts w:hint="eastAsia"/>
                <w:sz w:val="18"/>
                <w:szCs w:val="18"/>
                <w:lang w:eastAsia="zh-CN"/>
              </w:rPr>
              <w:t>2</w:t>
            </w:r>
          </w:p>
        </w:tc>
        <w:tc>
          <w:tcPr>
            <w:tcW w:w="566" w:type="dxa"/>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p>
        </w:tc>
        <w:tc>
          <w:tcPr>
            <w:tcW w:w="588" w:type="dxa"/>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p>
        </w:tc>
        <w:tc>
          <w:tcPr>
            <w:tcW w:w="935" w:type="dxa"/>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p>
        </w:tc>
        <w:tc>
          <w:tcPr>
            <w:tcW w:w="1512" w:type="dxa"/>
            <w:shd w:val="clear" w:color="auto" w:fill="F7CAAC" w:themeFill="accent2" w:themeFillTint="66"/>
            <w:vAlign w:val="center"/>
          </w:tcPr>
          <w:p>
            <w:pPr>
              <w:pStyle w:val="19"/>
              <w:snapToGrid w:val="0"/>
              <w:jc w:val="center"/>
              <w:textAlignment w:val="baseline"/>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restart"/>
            <w:tcBorders>
              <w:right w:val="single" w:color="auto" w:sz="4" w:space="0"/>
            </w:tcBorders>
            <w:vAlign w:val="center"/>
          </w:tcPr>
          <w:p>
            <w:pPr>
              <w:keepNext w:val="0"/>
              <w:keepLines w:val="0"/>
              <w:widowControl/>
              <w:suppressLineNumbers w:val="0"/>
              <w:tabs>
                <w:tab w:val="left" w:pos="286"/>
              </w:tabs>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专</w:t>
            </w:r>
          </w:p>
          <w:p>
            <w:pPr>
              <w:keepNext w:val="0"/>
              <w:keepLines w:val="0"/>
              <w:widowControl/>
              <w:suppressLineNumbers w:val="0"/>
              <w:tabs>
                <w:tab w:val="left" w:pos="286"/>
              </w:tabs>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业</w:t>
            </w:r>
          </w:p>
          <w:p>
            <w:pPr>
              <w:keepNext w:val="0"/>
              <w:keepLines w:val="0"/>
              <w:widowControl/>
              <w:suppressLineNumbers w:val="0"/>
              <w:tabs>
                <w:tab w:val="left" w:pos="286"/>
              </w:tabs>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基</w:t>
            </w:r>
          </w:p>
          <w:p>
            <w:pPr>
              <w:keepNext w:val="0"/>
              <w:keepLines w:val="0"/>
              <w:widowControl/>
              <w:suppressLineNumbers w:val="0"/>
              <w:tabs>
                <w:tab w:val="left" w:pos="286"/>
              </w:tabs>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础</w:t>
            </w:r>
          </w:p>
          <w:p>
            <w:pPr>
              <w:keepNext w:val="0"/>
              <w:keepLines w:val="0"/>
              <w:widowControl/>
              <w:suppressLineNumbers w:val="0"/>
              <w:tabs>
                <w:tab w:val="left" w:pos="286"/>
              </w:tabs>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课</w:t>
            </w:r>
          </w:p>
        </w:tc>
        <w:tc>
          <w:tcPr>
            <w:tcW w:w="606" w:type="dxa"/>
            <w:gridSpan w:val="2"/>
            <w:vMerge w:val="restart"/>
            <w:tcBorders>
              <w:right w:val="single" w:color="auto" w:sz="4" w:space="0"/>
            </w:tcBorders>
            <w:vAlign w:val="center"/>
          </w:tcPr>
          <w:p>
            <w:pPr>
              <w:pStyle w:val="19"/>
              <w:snapToGrid w:val="0"/>
              <w:jc w:val="center"/>
              <w:textAlignment w:val="baseline"/>
              <w:rPr>
                <w:rFonts w:hint="default"/>
                <w:sz w:val="18"/>
                <w:szCs w:val="18"/>
                <w:lang w:val="en-US" w:eastAsia="zh-CN"/>
              </w:rPr>
            </w:pPr>
            <w:r>
              <w:rPr>
                <w:rFonts w:hint="eastAsia"/>
                <w:sz w:val="18"/>
                <w:szCs w:val="18"/>
                <w:lang w:val="en-US" w:eastAsia="zh-CN"/>
              </w:rPr>
              <w:t>必修</w:t>
            </w: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sz w:val="18"/>
                <w:szCs w:val="18"/>
                <w:lang w:eastAsia="zh-CN"/>
              </w:rPr>
            </w:pPr>
            <w:r>
              <w:rPr>
                <w:rFonts w:hint="eastAsia" w:cs="宋体"/>
                <w:sz w:val="18"/>
                <w:szCs w:val="18"/>
                <w:highlight w:val="none"/>
                <w:lang w:val="en-US" w:eastAsia="zh-CN"/>
              </w:rPr>
              <w:t>0707012101</w:t>
            </w:r>
          </w:p>
        </w:tc>
        <w:tc>
          <w:tcPr>
            <w:tcW w:w="2504"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sz w:val="18"/>
                <w:szCs w:val="18"/>
                <w:lang w:eastAsia="zh-CN"/>
              </w:rPr>
            </w:pPr>
            <w:r>
              <w:rPr>
                <w:rFonts w:hint="eastAsia" w:cs="宋体"/>
                <w:sz w:val="18"/>
                <w:szCs w:val="18"/>
                <w:highlight w:val="none"/>
                <w:lang w:val="en-US" w:eastAsia="zh-CN"/>
              </w:rPr>
              <w:t>经济学基础</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lang w:val="en-US" w:eastAsia="zh-CN"/>
              </w:rPr>
              <w:t>2</w:t>
            </w:r>
            <w:r>
              <w:rPr>
                <w:rFonts w:hint="eastAsia" w:cs="宋体"/>
                <w:sz w:val="18"/>
                <w:szCs w:val="18"/>
                <w:lang w:val="en-US" w:eastAsia="zh-CN"/>
              </w:rPr>
              <w:t>.5</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38</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38</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i w:val="0"/>
                <w:color w:val="000000"/>
                <w:kern w:val="0"/>
                <w:sz w:val="18"/>
                <w:szCs w:val="18"/>
                <w:u w:val="none"/>
                <w:lang w:val="en-US" w:eastAsia="zh-CN" w:bidi="ar"/>
              </w:rPr>
              <w:t>2</w:t>
            </w: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0707022102</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商务礼仪</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38</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26</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12</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i w:val="0"/>
                <w:color w:val="000000"/>
                <w:kern w:val="0"/>
                <w:sz w:val="18"/>
                <w:szCs w:val="18"/>
                <w:u w:val="none"/>
                <w:lang w:val="en-US" w:eastAsia="zh-CN" w:bidi="ar"/>
              </w:rPr>
              <w:t>2</w:t>
            </w: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0707022103</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普通话</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38</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26</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i w:val="0"/>
                <w:color w:val="000000"/>
                <w:kern w:val="0"/>
                <w:sz w:val="18"/>
                <w:szCs w:val="18"/>
                <w:u w:val="none"/>
                <w:lang w:val="en-US" w:eastAsia="zh-CN" w:bidi="ar"/>
              </w:rPr>
              <w:t>2</w:t>
            </w: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0707022105</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物流基础</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76</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56</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i w:val="0"/>
                <w:color w:val="000000"/>
                <w:kern w:val="0"/>
                <w:sz w:val="18"/>
                <w:szCs w:val="18"/>
                <w:u w:val="none"/>
                <w:lang w:val="en-US" w:eastAsia="zh-CN" w:bidi="ar"/>
              </w:rPr>
              <w:t>4</w:t>
            </w: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0707012108</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国际贸易理论与实务</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80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sz w:val="18"/>
                <w:szCs w:val="18"/>
                <w:lang w:val="en-US" w:eastAsia="zh-CN"/>
              </w:rPr>
              <w:t>4</w:t>
            </w: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rPr>
            </w:pPr>
            <w:r>
              <w:rPr>
                <w:rFonts w:hint="eastAsia" w:cs="宋体"/>
                <w:b w:val="0"/>
                <w:bCs/>
                <w:sz w:val="18"/>
                <w:szCs w:val="18"/>
                <w:lang w:val="en-US" w:eastAsia="zh-CN"/>
              </w:rPr>
              <w:t>核心大赛置换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0707012110</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管理学基础</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40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i w:val="0"/>
                <w:color w:val="000000"/>
                <w:kern w:val="0"/>
                <w:sz w:val="18"/>
                <w:szCs w:val="18"/>
                <w:u w:val="none"/>
                <w:lang w:val="en-US" w:eastAsia="zh-CN" w:bidi="ar"/>
              </w:rPr>
              <w:t>2</w:t>
            </w: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0707012111</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商品学</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lang w:val="en-US" w:eastAsia="zh-CN"/>
              </w:rPr>
              <w:t>2</w:t>
            </w:r>
            <w:r>
              <w:rPr>
                <w:rFonts w:hint="eastAsia" w:cs="宋体"/>
                <w:sz w:val="18"/>
                <w:szCs w:val="18"/>
                <w:lang w:val="en-US" w:eastAsia="zh-CN"/>
              </w:rPr>
              <w:t>.5</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38</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38</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i w:val="0"/>
                <w:color w:val="000000"/>
                <w:kern w:val="0"/>
                <w:sz w:val="18"/>
                <w:szCs w:val="18"/>
                <w:u w:val="none"/>
                <w:lang w:val="en-US" w:eastAsia="zh-CN" w:bidi="ar"/>
              </w:rPr>
              <w:t>2</w:t>
            </w: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0707022112</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统计学</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30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10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i w:val="0"/>
                <w:color w:val="000000"/>
                <w:kern w:val="0"/>
                <w:sz w:val="18"/>
                <w:szCs w:val="18"/>
                <w:u w:val="none"/>
                <w:lang w:val="en-US" w:eastAsia="zh-CN" w:bidi="ar"/>
              </w:rPr>
              <w:t>2</w:t>
            </w: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0707022109</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电子商务概论</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40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2</w:t>
            </w: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snapToGrid w:val="0"/>
              <w:jc w:val="center"/>
              <w:textAlignment w:val="baseline"/>
              <w:rPr>
                <w:rFonts w:hint="eastAsia"/>
                <w:sz w:val="18"/>
                <w:szCs w:val="18"/>
                <w:lang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default"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0707022106</w:t>
            </w:r>
          </w:p>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0707032101</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ascii="宋体" w:hAnsi="宋体" w:eastAsia="宋体" w:cs="宋体"/>
                <w:sz w:val="18"/>
                <w:szCs w:val="18"/>
                <w:highlight w:val="none"/>
                <w:lang w:val="en-US" w:eastAsia="zh-CN" w:bidi="ar-SA"/>
              </w:rPr>
              <w:t>物流设施设备+叉车实务</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sz w:val="18"/>
                <w:szCs w:val="18"/>
                <w:lang w:val="en-US" w:eastAsia="zh-CN"/>
              </w:rPr>
              <w:t>2＋2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20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sz w:val="18"/>
                <w:szCs w:val="18"/>
                <w:lang w:val="en-US" w:eastAsia="zh-CN"/>
              </w:rPr>
              <w:t>2</w:t>
            </w: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b w:val="0"/>
                <w:bCs/>
                <w:sz w:val="18"/>
                <w:szCs w:val="18"/>
                <w:lang w:val="en-US" w:eastAsia="zh-CN" w:bidi="ar-SA"/>
              </w:rPr>
              <w:t>两门课程先后开设，各10个教学周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4379" w:type="dxa"/>
            <w:gridSpan w:val="4"/>
            <w:tcBorders>
              <w:right w:val="single" w:color="auto"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小计</w:t>
            </w:r>
          </w:p>
        </w:tc>
        <w:tc>
          <w:tcPr>
            <w:tcW w:w="646" w:type="dxa"/>
            <w:gridSpan w:val="2"/>
            <w:tcBorders>
              <w:left w:val="single" w:color="auto" w:sz="4" w:space="0"/>
            </w:tcBorders>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27</w:t>
            </w:r>
          </w:p>
        </w:tc>
        <w:tc>
          <w:tcPr>
            <w:tcW w:w="615" w:type="dxa"/>
            <w:gridSpan w:val="2"/>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468</w:t>
            </w:r>
          </w:p>
        </w:tc>
        <w:tc>
          <w:tcPr>
            <w:tcW w:w="585"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394</w:t>
            </w:r>
          </w:p>
        </w:tc>
        <w:tc>
          <w:tcPr>
            <w:tcW w:w="565"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74</w:t>
            </w:r>
          </w:p>
        </w:tc>
        <w:tc>
          <w:tcPr>
            <w:tcW w:w="635"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sz w:val="18"/>
                <w:szCs w:val="18"/>
                <w:lang w:val="en-US" w:eastAsia="zh-CN"/>
              </w:rPr>
              <w:t>12</w:t>
            </w:r>
          </w:p>
        </w:tc>
        <w:tc>
          <w:tcPr>
            <w:tcW w:w="508"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6</w:t>
            </w:r>
          </w:p>
        </w:tc>
        <w:tc>
          <w:tcPr>
            <w:tcW w:w="542" w:type="dxa"/>
            <w:shd w:val="clear" w:color="auto" w:fill="FBE5D6" w:themeFill="accent2" w:themeFillTint="32"/>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sz w:val="18"/>
                <w:szCs w:val="18"/>
                <w:lang w:val="en-US" w:eastAsia="zh-CN"/>
              </w:rPr>
              <w:t>4</w:t>
            </w:r>
          </w:p>
        </w:tc>
        <w:tc>
          <w:tcPr>
            <w:tcW w:w="496" w:type="dxa"/>
            <w:gridSpan w:val="2"/>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sz w:val="18"/>
                <w:szCs w:val="18"/>
                <w:lang w:eastAsia="zh-CN"/>
              </w:rPr>
            </w:pPr>
            <w:r>
              <w:rPr>
                <w:rFonts w:hint="eastAsia" w:cs="宋体"/>
                <w:i w:val="0"/>
                <w:color w:val="000000"/>
                <w:kern w:val="0"/>
                <w:sz w:val="18"/>
                <w:szCs w:val="18"/>
                <w:u w:val="none"/>
                <w:lang w:val="en-US" w:eastAsia="zh-CN" w:bidi="ar"/>
              </w:rPr>
              <w:t>2</w:t>
            </w:r>
          </w:p>
        </w:tc>
        <w:tc>
          <w:tcPr>
            <w:tcW w:w="566"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restart"/>
            <w:tcBorders>
              <w:right w:val="single" w:color="auto" w:sz="4" w:space="0"/>
            </w:tcBorders>
            <w:vAlign w:val="center"/>
          </w:tcPr>
          <w:p>
            <w:pPr>
              <w:keepNext w:val="0"/>
              <w:keepLines w:val="0"/>
              <w:pageBreakBefore w:val="0"/>
              <w:widowControl/>
              <w:suppressLineNumbers w:val="0"/>
              <w:tabs>
                <w:tab w:val="left" w:pos="243"/>
              </w:tabs>
              <w:kinsoku/>
              <w:wordWrap/>
              <w:overflowPunct/>
              <w:topLinePunct w:val="0"/>
              <w:autoSpaceDE w:val="0"/>
              <w:autoSpaceDN w:val="0"/>
              <w:bidi w:val="0"/>
              <w:adjustRightInd w:val="0"/>
              <w:snapToGrid w:val="0"/>
              <w:ind w:right="0" w:rightChars="0"/>
              <w:jc w:val="center"/>
              <w:textAlignment w:val="auto"/>
              <w:rPr>
                <w:rFonts w:hint="default" w:ascii="宋体" w:hAnsi="宋体" w:eastAsia="宋体" w:cs="宋体"/>
                <w:sz w:val="18"/>
                <w:szCs w:val="18"/>
                <w:highlight w:val="none"/>
                <w:lang w:val="en-US" w:eastAsia="zh-CN" w:bidi="ar-SA"/>
              </w:rPr>
            </w:pPr>
            <w:r>
              <w:rPr>
                <w:rFonts w:hint="eastAsia" w:cs="宋体"/>
                <w:sz w:val="18"/>
                <w:szCs w:val="18"/>
                <w:highlight w:val="none"/>
                <w:lang w:val="en-US" w:eastAsia="zh-CN" w:bidi="ar-SA"/>
              </w:rPr>
              <w:t>选修</w:t>
            </w: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0707022201</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cs="宋体"/>
                <w:sz w:val="18"/>
                <w:szCs w:val="18"/>
                <w:lang w:val="en-US" w:eastAsia="zh-CN" w:bidi="ar-SA"/>
              </w:rPr>
              <w:t>快递实务</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bidi="ar-SA"/>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bidi="ar-SA"/>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bidi="ar-SA"/>
              </w:rPr>
              <w:t>30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bidi="ar-SA"/>
              </w:rPr>
              <w:t>10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42"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bidi="ar-SA"/>
              </w:rPr>
              <w:t>2</w:t>
            </w:r>
          </w:p>
        </w:tc>
        <w:tc>
          <w:tcPr>
            <w:tcW w:w="496"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2</w:t>
            </w: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线下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0707022202</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i w:val="0"/>
                <w:color w:val="000000"/>
                <w:kern w:val="0"/>
                <w:sz w:val="18"/>
                <w:szCs w:val="18"/>
                <w:u w:val="none"/>
                <w:lang w:val="en-US" w:eastAsia="zh-CN" w:bidi="ar"/>
              </w:rPr>
              <w:t>基础会计</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ascii="宋体" w:hAnsi="宋体" w:eastAsia="宋体"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30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42"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496" w:type="dxa"/>
            <w:gridSpan w:val="2"/>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线下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0707012201</w:t>
            </w:r>
          </w:p>
        </w:tc>
        <w:tc>
          <w:tcPr>
            <w:tcW w:w="2504"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cs="宋体"/>
                <w:i w:val="0"/>
                <w:color w:val="000000"/>
                <w:kern w:val="0"/>
                <w:sz w:val="18"/>
                <w:szCs w:val="18"/>
                <w:u w:val="none"/>
                <w:lang w:val="en-US" w:eastAsia="zh-CN" w:bidi="ar"/>
              </w:rPr>
              <w:t>网络营销</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40</w:t>
            </w:r>
          </w:p>
        </w:tc>
        <w:tc>
          <w:tcPr>
            <w:tcW w:w="5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40</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vMerge w:val="restart"/>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2</w:t>
            </w:r>
          </w:p>
        </w:tc>
        <w:tc>
          <w:tcPr>
            <w:tcW w:w="496" w:type="dxa"/>
            <w:gridSpan w:val="2"/>
            <w:vMerge w:val="restart"/>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2</w:t>
            </w: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vMerge w:val="restart"/>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0707022203</w:t>
            </w:r>
          </w:p>
        </w:tc>
        <w:tc>
          <w:tcPr>
            <w:tcW w:w="2504" w:type="dxa"/>
            <w:tcBorders>
              <w:right w:val="single" w:color="auto" w:sz="4" w:space="0"/>
            </w:tcBorders>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14" w:lineRule="atLeast"/>
              <w:ind w:left="0" w:leftChars="0" w:right="0" w:rightChars="0" w:firstLine="0" w:firstLine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b w:val="0"/>
                <w:bCs w:val="0"/>
                <w:i w:val="0"/>
                <w:color w:val="000000"/>
                <w:kern w:val="0"/>
                <w:sz w:val="18"/>
                <w:szCs w:val="18"/>
                <w:u w:val="none"/>
                <w:lang w:val="en-US" w:eastAsia="zh-CN" w:bidi="ar"/>
              </w:rPr>
              <w:t>Excel物流应用教程</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20</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20</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0707012202</w:t>
            </w:r>
          </w:p>
        </w:tc>
        <w:tc>
          <w:tcPr>
            <w:tcW w:w="2504"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b w:val="0"/>
                <w:bCs w:val="0"/>
                <w:i w:val="0"/>
                <w:color w:val="000000"/>
                <w:kern w:val="0"/>
                <w:sz w:val="18"/>
                <w:szCs w:val="18"/>
                <w:u w:val="none"/>
                <w:lang w:val="en-US" w:eastAsia="zh-CN" w:bidi="ar"/>
              </w:rPr>
              <w:t>物流专业英语</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40</w:t>
            </w:r>
          </w:p>
        </w:tc>
        <w:tc>
          <w:tcPr>
            <w:tcW w:w="5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40</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0707022204</w:t>
            </w:r>
          </w:p>
        </w:tc>
        <w:tc>
          <w:tcPr>
            <w:tcW w:w="2504"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短视频制作与剪辑</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20</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20</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4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496" w:type="dxa"/>
            <w:gridSpan w:val="2"/>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4379" w:type="dxa"/>
            <w:gridSpan w:val="4"/>
            <w:tcBorders>
              <w:right w:val="single" w:color="auto" w:sz="4" w:space="0"/>
            </w:tcBorders>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b w:val="0"/>
                <w:bCs w:val="0"/>
                <w:i w:val="0"/>
                <w:color w:val="000000"/>
                <w:kern w:val="0"/>
                <w:sz w:val="18"/>
                <w:szCs w:val="18"/>
                <w:u w:val="none"/>
                <w:lang w:val="en-US" w:eastAsia="zh-CN" w:bidi="ar"/>
              </w:rPr>
            </w:pPr>
            <w:r>
              <w:rPr>
                <w:rFonts w:hint="eastAsia" w:cs="宋体"/>
                <w:b w:val="0"/>
                <w:bCs w:val="0"/>
                <w:sz w:val="18"/>
                <w:szCs w:val="18"/>
                <w:lang w:val="en-US" w:eastAsia="zh-CN"/>
              </w:rPr>
              <w:t>小计</w:t>
            </w:r>
          </w:p>
        </w:tc>
        <w:tc>
          <w:tcPr>
            <w:tcW w:w="646" w:type="dxa"/>
            <w:gridSpan w:val="2"/>
            <w:tcBorders>
              <w:left w:val="single" w:color="auto" w:sz="4" w:space="0"/>
            </w:tcBorders>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6</w:t>
            </w:r>
          </w:p>
        </w:tc>
        <w:tc>
          <w:tcPr>
            <w:tcW w:w="615" w:type="dxa"/>
            <w:gridSpan w:val="2"/>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80</w:t>
            </w:r>
          </w:p>
        </w:tc>
        <w:tc>
          <w:tcPr>
            <w:tcW w:w="58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60</w:t>
            </w:r>
          </w:p>
        </w:tc>
        <w:tc>
          <w:tcPr>
            <w:tcW w:w="56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20</w:t>
            </w:r>
          </w:p>
        </w:tc>
        <w:tc>
          <w:tcPr>
            <w:tcW w:w="63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0</w:t>
            </w:r>
          </w:p>
        </w:tc>
        <w:tc>
          <w:tcPr>
            <w:tcW w:w="508"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0</w:t>
            </w:r>
          </w:p>
        </w:tc>
        <w:tc>
          <w:tcPr>
            <w:tcW w:w="542"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496" w:type="dxa"/>
            <w:gridSpan w:val="2"/>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566"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restart"/>
            <w:tcBorders>
              <w:right w:val="single" w:color="auto" w:sz="4" w:space="0"/>
            </w:tcBorders>
            <w:vAlign w:val="center"/>
          </w:tcPr>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sz w:val="18"/>
                <w:szCs w:val="18"/>
              </w:rPr>
            </w:pPr>
          </w:p>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专</w:t>
            </w:r>
          </w:p>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业</w:t>
            </w:r>
          </w:p>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核</w:t>
            </w:r>
          </w:p>
          <w:p>
            <w:pPr>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心</w:t>
            </w:r>
          </w:p>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eastAsia="zh-CN"/>
              </w:rPr>
              <w:t>课</w:t>
            </w:r>
          </w:p>
        </w:tc>
        <w:tc>
          <w:tcPr>
            <w:tcW w:w="606" w:type="dxa"/>
            <w:gridSpan w:val="2"/>
            <w:vMerge w:val="restart"/>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cs="宋体"/>
                <w:b w:val="0"/>
                <w:bCs w:val="0"/>
                <w:sz w:val="18"/>
                <w:szCs w:val="18"/>
                <w:lang w:val="en-US" w:eastAsia="zh-CN"/>
              </w:rPr>
            </w:pPr>
            <w:r>
              <w:rPr>
                <w:rFonts w:hint="eastAsia" w:cs="宋体"/>
                <w:b w:val="0"/>
                <w:bCs w:val="0"/>
                <w:sz w:val="18"/>
                <w:szCs w:val="18"/>
                <w:lang w:val="en-US" w:eastAsia="zh-CN"/>
              </w:rPr>
              <w:t>必修</w:t>
            </w: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sz w:val="18"/>
                <w:szCs w:val="18"/>
                <w:highlight w:val="none"/>
                <w:lang w:val="en-US" w:eastAsia="zh-CN" w:bidi="ar-SA"/>
              </w:rPr>
              <w:t>0707023101</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bidi="ar"/>
              </w:rPr>
              <w:t>配送管理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60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b w:val="0"/>
                <w:bCs/>
                <w:sz w:val="18"/>
                <w:szCs w:val="18"/>
                <w:lang w:val="en-US" w:eastAsia="zh-CN"/>
              </w:rPr>
              <w:t>核心大赛置换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sz w:val="18"/>
                <w:szCs w:val="18"/>
                <w:highlight w:val="none"/>
                <w:lang w:val="en-US" w:eastAsia="zh-CN" w:bidi="ar-SA"/>
              </w:rPr>
              <w:t>0707023102</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bidi="ar"/>
              </w:rPr>
              <w:t>生产物流管理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4.5</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120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80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40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6</w:t>
            </w: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b w:val="0"/>
                <w:bCs/>
                <w:sz w:val="18"/>
                <w:szCs w:val="18"/>
                <w:lang w:val="en-US" w:eastAsia="zh-CN"/>
              </w:rPr>
              <w:t>核心大赛置换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sz w:val="18"/>
                <w:szCs w:val="18"/>
                <w:highlight w:val="none"/>
                <w:lang w:val="en-US" w:eastAsia="zh-CN" w:bidi="ar-SA"/>
              </w:rPr>
              <w:t>0707023103</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bidi="ar"/>
              </w:rPr>
              <w:t>采购管理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60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sz w:val="18"/>
                <w:szCs w:val="18"/>
                <w:highlight w:val="none"/>
                <w:lang w:val="en-US" w:eastAsia="zh-CN" w:bidi="ar-SA"/>
              </w:rPr>
              <w:t>0707023104</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bidi="ar"/>
              </w:rPr>
              <w:t>物流成本管理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60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sz w:val="18"/>
                <w:szCs w:val="18"/>
                <w:highlight w:val="none"/>
                <w:lang w:val="en-US" w:eastAsia="zh-CN" w:bidi="ar-SA"/>
              </w:rPr>
              <w:t>0707023105</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bidi="ar"/>
              </w:rPr>
              <w:t>仓储管理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60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b w:val="0"/>
                <w:bCs/>
                <w:sz w:val="18"/>
                <w:szCs w:val="18"/>
                <w:lang w:val="en-US" w:eastAsia="zh-CN"/>
              </w:rPr>
              <w:t>核心大赛置换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sz w:val="18"/>
                <w:szCs w:val="18"/>
                <w:highlight w:val="none"/>
                <w:lang w:val="en-US" w:eastAsia="zh-CN" w:bidi="ar-SA"/>
              </w:rPr>
              <w:t>0707023106</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bidi="ar"/>
              </w:rPr>
              <w:t>运输管理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60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b w:val="0"/>
                <w:bCs/>
                <w:sz w:val="18"/>
                <w:szCs w:val="18"/>
                <w:lang w:val="en-US" w:eastAsia="zh-CN"/>
              </w:rPr>
              <w:t>核心大赛置换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sz w:val="18"/>
                <w:szCs w:val="18"/>
                <w:highlight w:val="none"/>
                <w:lang w:val="en-US" w:eastAsia="zh-CN" w:bidi="ar-SA"/>
              </w:rPr>
              <w:t>0707023108</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bidi="ar"/>
              </w:rPr>
              <w:t>供应链管理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4.5</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120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80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40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6</w:t>
            </w: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b w:val="0"/>
                <w:bCs/>
                <w:sz w:val="18"/>
                <w:szCs w:val="18"/>
                <w:lang w:val="en-US" w:eastAsia="zh-CN"/>
              </w:rPr>
              <w:t>核心大赛置换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sz w:val="18"/>
                <w:szCs w:val="18"/>
                <w:highlight w:val="none"/>
                <w:lang w:val="en-US" w:eastAsia="zh-CN" w:bidi="ar-SA"/>
              </w:rPr>
              <w:t>0707023107</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bidi="ar"/>
              </w:rPr>
              <w:t>客户关系管理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60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070702311</w:t>
            </w:r>
            <w:r>
              <w:rPr>
                <w:rFonts w:hint="eastAsia" w:cs="宋体"/>
                <w:sz w:val="18"/>
                <w:szCs w:val="18"/>
                <w:highlight w:val="none"/>
                <w:lang w:val="en-US" w:eastAsia="zh-CN" w:bidi="ar-SA"/>
              </w:rPr>
              <w:t>4</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物流服务营销</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4</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w:t>
            </w: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0707023112</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物流信息系统</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3</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80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60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20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4</w:t>
            </w: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0707023113</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物流经济地理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3</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30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496"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4379" w:type="dxa"/>
            <w:gridSpan w:val="4"/>
            <w:tcBorders>
              <w:right w:val="single" w:color="auto"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小计</w:t>
            </w:r>
          </w:p>
        </w:tc>
        <w:tc>
          <w:tcPr>
            <w:tcW w:w="646" w:type="dxa"/>
            <w:gridSpan w:val="2"/>
            <w:tcBorders>
              <w:left w:val="single" w:color="auto" w:sz="4" w:space="0"/>
            </w:tcBorders>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43</w:t>
            </w:r>
          </w:p>
        </w:tc>
        <w:tc>
          <w:tcPr>
            <w:tcW w:w="615" w:type="dxa"/>
            <w:gridSpan w:val="2"/>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920</w:t>
            </w:r>
          </w:p>
        </w:tc>
        <w:tc>
          <w:tcPr>
            <w:tcW w:w="585"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670</w:t>
            </w:r>
          </w:p>
        </w:tc>
        <w:tc>
          <w:tcPr>
            <w:tcW w:w="565"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250</w:t>
            </w:r>
          </w:p>
        </w:tc>
        <w:tc>
          <w:tcPr>
            <w:tcW w:w="635"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0</w:t>
            </w:r>
          </w:p>
        </w:tc>
        <w:tc>
          <w:tcPr>
            <w:tcW w:w="508"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8</w:t>
            </w:r>
          </w:p>
        </w:tc>
        <w:tc>
          <w:tcPr>
            <w:tcW w:w="542"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18</w:t>
            </w:r>
          </w:p>
        </w:tc>
        <w:tc>
          <w:tcPr>
            <w:tcW w:w="496" w:type="dxa"/>
            <w:gridSpan w:val="2"/>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20</w:t>
            </w:r>
          </w:p>
        </w:tc>
        <w:tc>
          <w:tcPr>
            <w:tcW w:w="566" w:type="dxa"/>
            <w:shd w:val="clear" w:color="auto" w:fill="FBE5D6" w:themeFill="accent2" w:themeFillTint="32"/>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FBE5D6" w:themeFill="accent2" w:themeFillTint="32"/>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lang w:val="en-US" w:eastAsia="en-US" w:bidi="ar-SA"/>
              </w:rPr>
            </w:pPr>
          </w:p>
        </w:tc>
        <w:tc>
          <w:tcPr>
            <w:tcW w:w="1512"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restart"/>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cs="宋体"/>
                <w:b w:val="0"/>
                <w:bCs w:val="0"/>
                <w:sz w:val="18"/>
                <w:szCs w:val="18"/>
                <w:lang w:val="en-US" w:eastAsia="zh-CN"/>
              </w:rPr>
            </w:pPr>
            <w:r>
              <w:rPr>
                <w:rFonts w:hint="eastAsia" w:cs="宋体"/>
                <w:b w:val="0"/>
                <w:bCs w:val="0"/>
                <w:sz w:val="18"/>
                <w:szCs w:val="18"/>
                <w:lang w:val="en-US" w:eastAsia="zh-CN"/>
              </w:rPr>
              <w:t>选修</w:t>
            </w: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0707013201</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物流法律法规</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ascii="宋体" w:hAnsi="宋体" w:eastAsia="宋体"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42"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496" w:type="dxa"/>
            <w:gridSpan w:val="2"/>
            <w:vMerge w:val="restart"/>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sz w:val="18"/>
                <w:szCs w:val="18"/>
                <w:lang w:val="en-US" w:eastAsia="zh-CN" w:bidi="ar-SA"/>
              </w:rPr>
              <w:t>2</w:t>
            </w: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线下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0707023201</w:t>
            </w:r>
          </w:p>
        </w:tc>
        <w:tc>
          <w:tcPr>
            <w:tcW w:w="2504" w:type="dxa"/>
            <w:tcBorders>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国际货运代理</w:t>
            </w:r>
            <w:r>
              <w:rPr>
                <w:rFonts w:hint="eastAsia" w:cs="宋体"/>
                <w:i w:val="0"/>
                <w:color w:val="000000"/>
                <w:kern w:val="0"/>
                <w:sz w:val="18"/>
                <w:szCs w:val="18"/>
                <w:u w:val="none"/>
                <w:lang w:val="en-US" w:eastAsia="zh-CN" w:bidi="ar"/>
              </w:rPr>
              <w:t>实务</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r>
              <w:rPr>
                <w:rFonts w:hint="eastAsia" w:cs="宋体"/>
                <w:sz w:val="18"/>
                <w:szCs w:val="18"/>
                <w:lang w:val="en-US" w:eastAsia="zh-CN" w:bidi="ar-SA"/>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bidi="ar-SA"/>
              </w:rPr>
              <w:t>40</w:t>
            </w:r>
          </w:p>
        </w:tc>
        <w:tc>
          <w:tcPr>
            <w:tcW w:w="58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sz w:val="18"/>
                <w:szCs w:val="18"/>
                <w:lang w:val="en-US" w:eastAsia="zh-CN" w:bidi="ar-SA"/>
              </w:rPr>
              <w:t>30</w:t>
            </w:r>
          </w:p>
        </w:tc>
        <w:tc>
          <w:tcPr>
            <w:tcW w:w="5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10</w:t>
            </w:r>
          </w:p>
        </w:tc>
        <w:tc>
          <w:tcPr>
            <w:tcW w:w="63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542"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sz w:val="18"/>
                <w:szCs w:val="18"/>
                <w:lang w:val="en-US" w:eastAsia="zh-CN"/>
              </w:rPr>
            </w:pPr>
          </w:p>
        </w:tc>
        <w:tc>
          <w:tcPr>
            <w:tcW w:w="496" w:type="dxa"/>
            <w:gridSpan w:val="2"/>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p>
        </w:tc>
        <w:tc>
          <w:tcPr>
            <w:tcW w:w="566"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151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线下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0707023202</w:t>
            </w:r>
          </w:p>
        </w:tc>
        <w:tc>
          <w:tcPr>
            <w:tcW w:w="2504"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cs="宋体"/>
                <w:sz w:val="18"/>
                <w:szCs w:val="18"/>
                <w:lang w:val="en-US" w:eastAsia="zh-CN" w:bidi="ar-SA"/>
              </w:rPr>
              <w:t>网店运营推广</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sz w:val="18"/>
                <w:szCs w:val="18"/>
                <w:lang w:val="en-US" w:eastAsia="zh-CN"/>
              </w:rPr>
              <w:t>20</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20</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vMerge w:val="restart"/>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496" w:type="dxa"/>
            <w:gridSpan w:val="2"/>
            <w:vMerge w:val="restart"/>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sz w:val="18"/>
                <w:szCs w:val="18"/>
                <w:lang w:val="en-US" w:eastAsia="zh-CN"/>
              </w:rPr>
              <w:t>2</w:t>
            </w: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1512" w:type="dxa"/>
            <w:vMerge w:val="restart"/>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0707013202</w:t>
            </w:r>
          </w:p>
        </w:tc>
        <w:tc>
          <w:tcPr>
            <w:tcW w:w="2504"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第三方物流管理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bidi="ar-SA"/>
              </w:rPr>
              <w:t>40</w:t>
            </w:r>
          </w:p>
        </w:tc>
        <w:tc>
          <w:tcPr>
            <w:tcW w:w="585"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40</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151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0707023203</w:t>
            </w:r>
          </w:p>
        </w:tc>
        <w:tc>
          <w:tcPr>
            <w:tcW w:w="2504"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物流中心设计与运作</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40</w:t>
            </w:r>
          </w:p>
        </w:tc>
        <w:tc>
          <w:tcPr>
            <w:tcW w:w="585"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30</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10</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151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606" w:type="dxa"/>
            <w:gridSpan w:val="2"/>
            <w:vMerge w:val="continue"/>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b w:val="0"/>
                <w:bCs w:val="0"/>
                <w:sz w:val="18"/>
                <w:szCs w:val="18"/>
                <w:lang w:val="en-US" w:eastAsia="zh-CN"/>
              </w:rPr>
            </w:pPr>
          </w:p>
        </w:tc>
        <w:tc>
          <w:tcPr>
            <w:tcW w:w="1269" w:type="dxa"/>
            <w:tcBorders>
              <w:right w:val="single" w:color="auto" w:sz="4" w:space="0"/>
            </w:tcBorders>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0707033201</w:t>
            </w:r>
          </w:p>
        </w:tc>
        <w:tc>
          <w:tcPr>
            <w:tcW w:w="2504"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图形图像处理</w:t>
            </w:r>
          </w:p>
        </w:tc>
        <w:tc>
          <w:tcPr>
            <w:tcW w:w="646" w:type="dxa"/>
            <w:gridSpan w:val="2"/>
            <w:tcBorders>
              <w:left w:val="single" w:color="auto" w:sz="4" w:space="0"/>
            </w:tcBorders>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w:t>
            </w:r>
          </w:p>
        </w:tc>
        <w:tc>
          <w:tcPr>
            <w:tcW w:w="615" w:type="dxa"/>
            <w:gridSpan w:val="2"/>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bidi="ar-SA"/>
              </w:rPr>
              <w:t>40</w:t>
            </w:r>
          </w:p>
        </w:tc>
        <w:tc>
          <w:tcPr>
            <w:tcW w:w="585" w:type="dxa"/>
            <w:shd w:val="clear" w:color="auto" w:fill="auto"/>
            <w:vAlign w:val="center"/>
          </w:tcPr>
          <w:p>
            <w:pPr>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40</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96" w:type="dxa"/>
            <w:gridSpan w:val="2"/>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p>
        </w:tc>
        <w:tc>
          <w:tcPr>
            <w:tcW w:w="566"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1512" w:type="dxa"/>
            <w:vMerge w:val="continue"/>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31" w:type="dxa"/>
            <w:gridSpan w:val="2"/>
            <w:vMerge w:val="continue"/>
            <w:tcBorders>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4379" w:type="dxa"/>
            <w:gridSpan w:val="4"/>
            <w:tcBorders>
              <w:right w:val="single" w:color="auto" w:sz="4" w:space="0"/>
            </w:tcBorders>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小计</w:t>
            </w:r>
          </w:p>
        </w:tc>
        <w:tc>
          <w:tcPr>
            <w:tcW w:w="646" w:type="dxa"/>
            <w:gridSpan w:val="2"/>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6</w:t>
            </w:r>
          </w:p>
        </w:tc>
        <w:tc>
          <w:tcPr>
            <w:tcW w:w="615" w:type="dxa"/>
            <w:gridSpan w:val="2"/>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sz w:val="18"/>
                <w:szCs w:val="18"/>
                <w:lang w:val="en-US" w:eastAsia="zh-CN"/>
              </w:rPr>
              <w:t>80</w:t>
            </w:r>
          </w:p>
        </w:tc>
        <w:tc>
          <w:tcPr>
            <w:tcW w:w="58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i w:val="0"/>
                <w:color w:val="000000"/>
                <w:kern w:val="0"/>
                <w:sz w:val="18"/>
                <w:szCs w:val="18"/>
                <w:u w:val="none"/>
                <w:lang w:val="en-US" w:eastAsia="zh-CN" w:bidi="ar"/>
              </w:rPr>
            </w:pPr>
            <w:r>
              <w:rPr>
                <w:rFonts w:hint="eastAsia" w:cs="宋体"/>
                <w:sz w:val="18"/>
                <w:szCs w:val="18"/>
                <w:lang w:val="en-US" w:eastAsia="zh-CN"/>
              </w:rPr>
              <w:t>70</w:t>
            </w:r>
          </w:p>
        </w:tc>
        <w:tc>
          <w:tcPr>
            <w:tcW w:w="56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10</w:t>
            </w:r>
          </w:p>
        </w:tc>
        <w:tc>
          <w:tcPr>
            <w:tcW w:w="63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0</w:t>
            </w:r>
          </w:p>
        </w:tc>
        <w:tc>
          <w:tcPr>
            <w:tcW w:w="508"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0</w:t>
            </w:r>
          </w:p>
        </w:tc>
        <w:tc>
          <w:tcPr>
            <w:tcW w:w="542"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i w:val="0"/>
                <w:color w:val="000000"/>
                <w:kern w:val="0"/>
                <w:sz w:val="18"/>
                <w:szCs w:val="18"/>
                <w:u w:val="none"/>
                <w:lang w:val="en-US" w:eastAsia="zh-CN" w:bidi="ar"/>
              </w:rPr>
            </w:pPr>
            <w:r>
              <w:rPr>
                <w:rFonts w:hint="eastAsia" w:cs="宋体"/>
                <w:sz w:val="18"/>
                <w:szCs w:val="18"/>
                <w:lang w:val="en-US" w:eastAsia="zh-CN"/>
              </w:rPr>
              <w:t>2</w:t>
            </w:r>
          </w:p>
        </w:tc>
        <w:tc>
          <w:tcPr>
            <w:tcW w:w="496" w:type="dxa"/>
            <w:gridSpan w:val="2"/>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2</w:t>
            </w:r>
          </w:p>
        </w:tc>
        <w:tc>
          <w:tcPr>
            <w:tcW w:w="566"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val="0"/>
                <w:bCs/>
                <w:sz w:val="18"/>
                <w:szCs w:val="18"/>
              </w:rPr>
            </w:pPr>
          </w:p>
        </w:tc>
        <w:tc>
          <w:tcPr>
            <w:tcW w:w="935"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pPr>
          </w:p>
        </w:tc>
        <w:tc>
          <w:tcPr>
            <w:tcW w:w="1512" w:type="dxa"/>
            <w:shd w:val="clear" w:color="auto" w:fill="FBE5D6" w:themeFill="accent2" w:themeFillTint="32"/>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1691" w:type="dxa"/>
            <w:gridSpan w:val="20"/>
            <w:vAlign w:val="center"/>
          </w:tcPr>
          <w:p>
            <w:pPr>
              <w:pStyle w:val="19"/>
              <w:keepNext w:val="0"/>
              <w:keepLines w:val="0"/>
              <w:pageBreakBefore w:val="0"/>
              <w:widowControl w:val="0"/>
              <w:kinsoku/>
              <w:wordWrap/>
              <w:overflowPunct/>
              <w:topLinePunct w:val="0"/>
              <w:autoSpaceDE w:val="0"/>
              <w:autoSpaceDN w:val="0"/>
              <w:bidi w:val="0"/>
              <w:adjustRightInd/>
              <w:snapToGrid/>
              <w:spacing w:line="320" w:lineRule="exact"/>
              <w:ind w:right="0" w:firstLine="180" w:firstLineChars="100"/>
              <w:jc w:val="left"/>
              <w:textAlignment w:val="auto"/>
              <w:rPr>
                <w:rFonts w:hint="eastAsia" w:ascii="宋体" w:hAnsi="宋体" w:eastAsia="宋体" w:cs="宋体"/>
                <w:sz w:val="18"/>
                <w:szCs w:val="18"/>
              </w:rPr>
            </w:pPr>
            <w:r>
              <w:rPr>
                <w:rFonts w:hint="eastAsia" w:ascii="宋体" w:hAnsi="宋体" w:eastAsia="宋体" w:cs="宋体"/>
                <w:sz w:val="18"/>
                <w:szCs w:val="18"/>
              </w:rPr>
              <w:t>课程学分置换：1、置换专业课学分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核心大赛，最高可兑换8个学分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①国家级大赛一、二、三等奖可兑换8、6、4个学分；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②省级大赛一、二、三等奖可兑换4、3、2个学分；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③市（院）级大赛一、二等奖可兑换1、0.5个学分</w:t>
            </w:r>
            <w:r>
              <w:rPr>
                <w:rFonts w:hint="eastAsia" w:cs="宋体"/>
                <w:sz w:val="18"/>
                <w:szCs w:val="18"/>
                <w:lang w:eastAsia="zh-CN"/>
              </w:rPr>
              <w:t>。</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2、置换线上选修课程学分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非核心竞赛和文体活动，最高可兑换8个学分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①国家级二类大赛一、二、三等奖可兑换4、3、2个学分；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②省级大赛一、二、三等奖可兑换3、2、1个学分；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③市（院）级大赛一、二等奖可兑换1、0.5个学分</w:t>
            </w:r>
            <w:r>
              <w:rPr>
                <w:rFonts w:hint="eastAsia" w:cs="宋体"/>
                <w:sz w:val="18"/>
                <w:szCs w:val="18"/>
                <w:lang w:eastAsia="zh-CN"/>
              </w:rPr>
              <w:t>。</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3、国家承认的职业资格，技能等级证书奖励学分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①不分等级，记4学分；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right="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②分等级，初级2</w:t>
            </w:r>
            <w:r>
              <w:rPr>
                <w:rFonts w:hint="eastAsia" w:cs="宋体"/>
                <w:sz w:val="18"/>
                <w:szCs w:val="18"/>
                <w:lang w:val="en-US" w:eastAsia="zh-CN"/>
              </w:rPr>
              <w:t>学分</w:t>
            </w:r>
            <w:r>
              <w:rPr>
                <w:rFonts w:hint="eastAsia" w:ascii="宋体" w:hAnsi="宋体" w:eastAsia="宋体" w:cs="宋体"/>
                <w:sz w:val="18"/>
                <w:szCs w:val="18"/>
              </w:rPr>
              <w:t>，中级4</w:t>
            </w:r>
            <w:r>
              <w:rPr>
                <w:rFonts w:hint="eastAsia" w:cs="宋体"/>
                <w:sz w:val="18"/>
                <w:szCs w:val="18"/>
                <w:lang w:val="en-US" w:eastAsia="zh-CN"/>
              </w:rPr>
              <w:t>学分</w:t>
            </w:r>
            <w:r>
              <w:rPr>
                <w:rFonts w:hint="eastAsia" w:ascii="宋体" w:hAnsi="宋体" w:eastAsia="宋体" w:cs="宋体"/>
                <w:sz w:val="18"/>
                <w:szCs w:val="18"/>
              </w:rPr>
              <w:t>，高级8</w:t>
            </w:r>
            <w:r>
              <w:rPr>
                <w:rFonts w:hint="eastAsia" w:cs="宋体"/>
                <w:sz w:val="18"/>
                <w:szCs w:val="18"/>
                <w:lang w:val="en-US" w:eastAsia="zh-CN"/>
              </w:rPr>
              <w:t>学分。</w:t>
            </w:r>
            <w:r>
              <w:rPr>
                <w:rFonts w:hint="eastAsia" w:ascii="宋体" w:hAnsi="宋体" w:eastAsia="宋体" w:cs="宋体"/>
                <w:sz w:val="18"/>
                <w:szCs w:val="18"/>
              </w:rPr>
              <w:t xml:space="preserve"> </w:t>
            </w:r>
          </w:p>
          <w:p>
            <w:pPr>
              <w:pStyle w:val="19"/>
              <w:keepNext w:val="0"/>
              <w:keepLines w:val="0"/>
              <w:pageBreakBefore w:val="0"/>
              <w:widowControl w:val="0"/>
              <w:kinsoku/>
              <w:wordWrap/>
              <w:overflowPunct/>
              <w:topLinePunct w:val="0"/>
              <w:autoSpaceDE w:val="0"/>
              <w:autoSpaceDN w:val="0"/>
              <w:bidi w:val="0"/>
              <w:adjustRightInd/>
              <w:snapToGrid/>
              <w:spacing w:line="320" w:lineRule="exact"/>
              <w:ind w:right="0" w:firstLine="1260" w:firstLineChars="700"/>
              <w:jc w:val="left"/>
              <w:textAlignment w:val="auto"/>
              <w:rPr>
                <w:rFonts w:hint="eastAsia" w:ascii="宋体" w:hAnsi="宋体" w:eastAsia="宋体" w:cs="宋体"/>
                <w:sz w:val="18"/>
                <w:szCs w:val="18"/>
                <w:lang w:eastAsia="zh-CN"/>
              </w:rPr>
            </w:pPr>
            <w:r>
              <w:rPr>
                <w:rFonts w:hint="eastAsia" w:cs="宋体"/>
                <w:sz w:val="18"/>
                <w:szCs w:val="18"/>
                <w:lang w:val="en-US" w:eastAsia="zh-CN"/>
              </w:rPr>
              <w:t>4、</w:t>
            </w:r>
            <w:r>
              <w:rPr>
                <w:rFonts w:hint="eastAsia" w:ascii="宋体" w:hAnsi="宋体" w:eastAsia="宋体" w:cs="宋体"/>
                <w:sz w:val="18"/>
                <w:szCs w:val="18"/>
              </w:rPr>
              <w:t>省级以上三好学</w:t>
            </w:r>
            <w:r>
              <w:rPr>
                <w:rFonts w:hint="eastAsia" w:ascii="宋体" w:hAnsi="宋体" w:eastAsia="宋体" w:cs="宋体"/>
                <w:sz w:val="18"/>
                <w:szCs w:val="18"/>
                <w:lang w:val="en-US" w:eastAsia="zh-CN"/>
              </w:rPr>
              <w:t>生、优秀学生干部、</w:t>
            </w:r>
            <w:r>
              <w:rPr>
                <w:rFonts w:hint="eastAsia" w:ascii="宋体" w:hAnsi="宋体" w:eastAsia="宋体" w:cs="宋体"/>
                <w:sz w:val="18"/>
                <w:szCs w:val="18"/>
              </w:rPr>
              <w:t>优秀团干</w:t>
            </w:r>
            <w:r>
              <w:rPr>
                <w:rFonts w:hint="eastAsia" w:ascii="宋体" w:hAnsi="宋体" w:eastAsia="宋体" w:cs="宋体"/>
                <w:sz w:val="18"/>
                <w:szCs w:val="18"/>
                <w:lang w:val="en-US" w:eastAsia="zh-CN"/>
              </w:rPr>
              <w:t>计</w:t>
            </w:r>
            <w:r>
              <w:rPr>
                <w:rFonts w:hint="eastAsia" w:ascii="宋体" w:hAnsi="宋体" w:eastAsia="宋体" w:cs="宋体"/>
                <w:sz w:val="18"/>
                <w:szCs w:val="18"/>
              </w:rPr>
              <w:t>1个学分</w:t>
            </w:r>
          </w:p>
          <w:p>
            <w:pPr>
              <w:pStyle w:val="19"/>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1260" w:firstLineChars="700"/>
              <w:jc w:val="both"/>
              <w:textAlignment w:val="auto"/>
              <w:rPr>
                <w:rFonts w:hint="eastAsia" w:ascii="宋体" w:hAnsi="宋体" w:eastAsia="宋体" w:cs="宋体"/>
                <w:sz w:val="18"/>
                <w:szCs w:val="18"/>
                <w:lang w:val="en-US" w:eastAsia="zh-CN" w:bidi="ar-SA"/>
              </w:rPr>
            </w:pPr>
            <w:r>
              <w:rPr>
                <w:rFonts w:hint="eastAsia" w:cs="宋体"/>
                <w:sz w:val="18"/>
                <w:szCs w:val="18"/>
                <w:lang w:val="en-US" w:eastAsia="zh-CN"/>
              </w:rPr>
              <w:t>5、</w:t>
            </w:r>
            <w:r>
              <w:rPr>
                <w:rFonts w:hint="eastAsia" w:ascii="宋体" w:hAnsi="宋体" w:eastAsia="宋体" w:cs="宋体"/>
                <w:sz w:val="18"/>
                <w:szCs w:val="18"/>
                <w:lang w:val="en-US" w:eastAsia="zh-CN"/>
              </w:rPr>
              <w:t>有重大立功表现的计2学分</w:t>
            </w:r>
          </w:p>
        </w:tc>
        <w:tc>
          <w:tcPr>
            <w:tcW w:w="1512" w:type="dxa"/>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firstLine="1080" w:firstLineChars="600"/>
              <w:jc w:val="both"/>
              <w:textAlignment w:val="auto"/>
              <w:rPr>
                <w:rFonts w:hint="eastAsia"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5010" w:type="dxa"/>
            <w:gridSpan w:val="6"/>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合计</w:t>
            </w:r>
          </w:p>
        </w:tc>
        <w:tc>
          <w:tcPr>
            <w:tcW w:w="635"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82</w:t>
            </w:r>
          </w:p>
        </w:tc>
        <w:tc>
          <w:tcPr>
            <w:tcW w:w="623" w:type="dxa"/>
            <w:gridSpan w:val="2"/>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1548</w:t>
            </w:r>
          </w:p>
        </w:tc>
        <w:tc>
          <w:tcPr>
            <w:tcW w:w="588" w:type="dxa"/>
            <w:gridSpan w:val="2"/>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1194</w:t>
            </w:r>
          </w:p>
        </w:tc>
        <w:tc>
          <w:tcPr>
            <w:tcW w:w="565"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354</w:t>
            </w:r>
          </w:p>
        </w:tc>
        <w:tc>
          <w:tcPr>
            <w:tcW w:w="635"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12</w:t>
            </w:r>
          </w:p>
        </w:tc>
        <w:tc>
          <w:tcPr>
            <w:tcW w:w="508"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14</w:t>
            </w:r>
          </w:p>
        </w:tc>
        <w:tc>
          <w:tcPr>
            <w:tcW w:w="542"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cs="宋体"/>
                <w:sz w:val="18"/>
                <w:szCs w:val="18"/>
                <w:lang w:val="en-US" w:eastAsia="zh-CN"/>
              </w:rPr>
            </w:pPr>
            <w:r>
              <w:rPr>
                <w:rFonts w:hint="eastAsia" w:cs="宋体"/>
                <w:sz w:val="18"/>
                <w:szCs w:val="18"/>
                <w:lang w:val="en-US" w:eastAsia="zh-CN"/>
              </w:rPr>
              <w:t>22</w:t>
            </w:r>
          </w:p>
        </w:tc>
        <w:tc>
          <w:tcPr>
            <w:tcW w:w="485"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cs="宋体"/>
                <w:sz w:val="18"/>
                <w:szCs w:val="18"/>
                <w:lang w:val="en-US" w:eastAsia="zh-CN"/>
              </w:rPr>
            </w:pPr>
            <w:r>
              <w:rPr>
                <w:rFonts w:hint="eastAsia" w:cs="宋体"/>
                <w:sz w:val="18"/>
                <w:szCs w:val="18"/>
                <w:lang w:val="en-US" w:eastAsia="zh-CN"/>
              </w:rPr>
              <w:t>22</w:t>
            </w:r>
          </w:p>
        </w:tc>
        <w:tc>
          <w:tcPr>
            <w:tcW w:w="577" w:type="dxa"/>
            <w:gridSpan w:val="2"/>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588"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935"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1512" w:type="dxa"/>
            <w:shd w:val="clear" w:color="auto" w:fill="F7CAAC" w:themeFill="accent2"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12" w:type="dxa"/>
            <w:vMerge w:val="restart"/>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实</w:t>
            </w:r>
          </w:p>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验</w:t>
            </w:r>
          </w:p>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实</w:t>
            </w:r>
          </w:p>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训</w:t>
            </w:r>
          </w:p>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cs="宋体"/>
                <w:sz w:val="18"/>
                <w:szCs w:val="18"/>
                <w:lang w:val="en-US" w:eastAsia="zh-CN"/>
              </w:rPr>
            </w:pPr>
            <w:r>
              <w:rPr>
                <w:rFonts w:hint="eastAsia" w:cs="宋体"/>
                <w:sz w:val="18"/>
                <w:szCs w:val="18"/>
                <w:lang w:val="en-US" w:eastAsia="zh-CN"/>
              </w:rPr>
              <w:t>课</w:t>
            </w:r>
          </w:p>
        </w:tc>
        <w:tc>
          <w:tcPr>
            <w:tcW w:w="613" w:type="dxa"/>
            <w:gridSpan w:val="2"/>
            <w:vMerge w:val="restart"/>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cs="宋体"/>
                <w:sz w:val="18"/>
                <w:szCs w:val="18"/>
                <w:lang w:val="en-US" w:eastAsia="zh-CN"/>
              </w:rPr>
            </w:pPr>
            <w:r>
              <w:rPr>
                <w:rFonts w:hint="eastAsia" w:cs="宋体"/>
                <w:sz w:val="18"/>
                <w:szCs w:val="18"/>
                <w:lang w:val="en-US" w:eastAsia="zh-CN"/>
              </w:rPr>
              <w:t>必修</w:t>
            </w:r>
          </w:p>
        </w:tc>
        <w:tc>
          <w:tcPr>
            <w:tcW w:w="1281"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250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认知实习</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623"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88"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77"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sz w:val="18"/>
                <w:szCs w:val="18"/>
                <w:lang w:eastAsia="zh-CN"/>
              </w:rPr>
              <w:t>⊕</w:t>
            </w:r>
          </w:p>
        </w:tc>
        <w:tc>
          <w:tcPr>
            <w:tcW w:w="1512" w:type="dxa"/>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12" w:type="dxa"/>
            <w:vMerge w:val="continue"/>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613" w:type="dxa"/>
            <w:gridSpan w:val="2"/>
            <w:vMerge w:val="continue"/>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1281"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highlight w:val="none"/>
                <w:lang w:val="en-US" w:eastAsia="zh-CN"/>
              </w:rPr>
              <w:t>0707033102</w:t>
            </w:r>
          </w:p>
        </w:tc>
        <w:tc>
          <w:tcPr>
            <w:tcW w:w="250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跟岗实习</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sz w:val="18"/>
                <w:szCs w:val="18"/>
                <w:lang w:val="en-US" w:eastAsia="zh-CN"/>
              </w:rPr>
              <w:t>17</w:t>
            </w:r>
          </w:p>
        </w:tc>
        <w:tc>
          <w:tcPr>
            <w:tcW w:w="623"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272</w:t>
            </w:r>
          </w:p>
        </w:tc>
        <w:tc>
          <w:tcPr>
            <w:tcW w:w="588"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272</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77"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17周</w:t>
            </w: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sz w:val="18"/>
                <w:szCs w:val="18"/>
                <w:lang w:eastAsia="zh-CN"/>
              </w:rPr>
              <w:t>⊕</w:t>
            </w:r>
          </w:p>
        </w:tc>
        <w:tc>
          <w:tcPr>
            <w:tcW w:w="1512" w:type="dxa"/>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12" w:type="dxa"/>
            <w:vMerge w:val="continue"/>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613" w:type="dxa"/>
            <w:gridSpan w:val="2"/>
            <w:vMerge w:val="continue"/>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1281"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highlight w:val="none"/>
                <w:lang w:val="en-US" w:eastAsia="zh-CN"/>
              </w:rPr>
              <w:t>0707013101</w:t>
            </w:r>
          </w:p>
        </w:tc>
        <w:tc>
          <w:tcPr>
            <w:tcW w:w="250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毕业设计</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sz w:val="18"/>
                <w:szCs w:val="18"/>
                <w:lang w:val="en-US" w:eastAsia="zh-CN"/>
              </w:rPr>
              <w:t>1</w:t>
            </w:r>
          </w:p>
        </w:tc>
        <w:tc>
          <w:tcPr>
            <w:tcW w:w="623"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16</w:t>
            </w:r>
          </w:p>
        </w:tc>
        <w:tc>
          <w:tcPr>
            <w:tcW w:w="588"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16</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77"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1512" w:type="dxa"/>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12" w:type="dxa"/>
            <w:vMerge w:val="continue"/>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sz w:val="18"/>
                <w:szCs w:val="18"/>
                <w:lang w:val="en-US" w:eastAsia="zh-CN" w:bidi="ar-SA"/>
              </w:rPr>
            </w:pPr>
          </w:p>
        </w:tc>
        <w:tc>
          <w:tcPr>
            <w:tcW w:w="613" w:type="dxa"/>
            <w:gridSpan w:val="2"/>
            <w:vMerge w:val="continue"/>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sz w:val="18"/>
                <w:szCs w:val="18"/>
                <w:lang w:val="en-US" w:eastAsia="zh-CN" w:bidi="ar-SA"/>
              </w:rPr>
            </w:pPr>
          </w:p>
        </w:tc>
        <w:tc>
          <w:tcPr>
            <w:tcW w:w="1281"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highlight w:val="none"/>
                <w:lang w:val="en-US" w:eastAsia="zh-CN"/>
              </w:rPr>
              <w:t>0707033103</w:t>
            </w:r>
          </w:p>
        </w:tc>
        <w:tc>
          <w:tcPr>
            <w:tcW w:w="250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ascii="宋体" w:hAnsi="宋体" w:eastAsia="宋体" w:cs="宋体"/>
                <w:i w:val="0"/>
                <w:color w:val="000000"/>
                <w:kern w:val="0"/>
                <w:sz w:val="18"/>
                <w:szCs w:val="18"/>
                <w:u w:val="none"/>
                <w:lang w:val="en-US" w:eastAsia="zh-CN" w:bidi="ar"/>
              </w:rPr>
              <w:t>顶岗实习</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r>
              <w:rPr>
                <w:rFonts w:hint="eastAsia" w:cs="宋体"/>
                <w:sz w:val="18"/>
                <w:szCs w:val="18"/>
                <w:lang w:val="en-US" w:eastAsia="zh-CN"/>
              </w:rPr>
              <w:t>17</w:t>
            </w:r>
          </w:p>
        </w:tc>
        <w:tc>
          <w:tcPr>
            <w:tcW w:w="623"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sz w:val="18"/>
                <w:szCs w:val="18"/>
                <w:lang w:val="en-US" w:eastAsia="zh-CN"/>
              </w:rPr>
              <w:t>272</w:t>
            </w:r>
          </w:p>
        </w:tc>
        <w:tc>
          <w:tcPr>
            <w:tcW w:w="588"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cs="宋体"/>
                <w:sz w:val="18"/>
                <w:szCs w:val="18"/>
                <w:lang w:val="en-US" w:eastAsia="zh-CN"/>
              </w:rPr>
            </w:pPr>
            <w:r>
              <w:rPr>
                <w:rFonts w:hint="eastAsia" w:cs="宋体"/>
                <w:sz w:val="18"/>
                <w:szCs w:val="18"/>
                <w:lang w:val="en-US" w:eastAsia="zh-CN"/>
              </w:rPr>
              <w:t>272</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77"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19周</w:t>
            </w: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sz w:val="18"/>
                <w:szCs w:val="18"/>
                <w:lang w:eastAsia="zh-CN"/>
              </w:rPr>
              <w:t>⊕</w:t>
            </w:r>
          </w:p>
        </w:tc>
        <w:tc>
          <w:tcPr>
            <w:tcW w:w="1512" w:type="dxa"/>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12" w:type="dxa"/>
            <w:vMerge w:val="continue"/>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613" w:type="dxa"/>
            <w:gridSpan w:val="2"/>
            <w:vMerge w:val="continue"/>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c>
          <w:tcPr>
            <w:tcW w:w="1281"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2504"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招生就业处、培训处、创新创业培训（就业1分，创新创业2分，人社局培训证书共3分，共计</w:t>
            </w:r>
            <w:r>
              <w:rPr>
                <w:rFonts w:hint="eastAsia"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分，必修4分。）</w:t>
            </w: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4</w:t>
            </w:r>
          </w:p>
        </w:tc>
        <w:tc>
          <w:tcPr>
            <w:tcW w:w="623"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64</w:t>
            </w:r>
          </w:p>
        </w:tc>
        <w:tc>
          <w:tcPr>
            <w:tcW w:w="588"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64</w:t>
            </w:r>
          </w:p>
        </w:tc>
        <w:tc>
          <w:tcPr>
            <w:tcW w:w="56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6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8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77" w:type="dxa"/>
            <w:gridSpan w:val="2"/>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88"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935" w:type="dxa"/>
            <w:shd w:val="clear" w:color="auto" w:fill="auto"/>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1512" w:type="dxa"/>
            <w:shd w:val="clear" w:color="auto" w:fill="auto"/>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010" w:type="dxa"/>
            <w:gridSpan w:val="6"/>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b/>
                <w:bCs/>
                <w:sz w:val="18"/>
                <w:szCs w:val="18"/>
                <w:lang w:val="en-US" w:eastAsia="zh-CN"/>
              </w:rPr>
              <w:t>合</w:t>
            </w:r>
            <w:r>
              <w:rPr>
                <w:rFonts w:hint="eastAsia" w:ascii="宋体" w:hAnsi="宋体" w:eastAsia="宋体" w:cs="宋体"/>
                <w:b/>
                <w:bCs/>
                <w:sz w:val="18"/>
                <w:szCs w:val="18"/>
                <w:lang w:eastAsia="zh-CN"/>
              </w:rPr>
              <w:t>计</w:t>
            </w:r>
          </w:p>
        </w:tc>
        <w:tc>
          <w:tcPr>
            <w:tcW w:w="635"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39</w:t>
            </w:r>
          </w:p>
        </w:tc>
        <w:tc>
          <w:tcPr>
            <w:tcW w:w="623" w:type="dxa"/>
            <w:gridSpan w:val="2"/>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cs="宋体"/>
                <w:sz w:val="18"/>
                <w:szCs w:val="18"/>
                <w:lang w:val="en-US" w:eastAsia="zh-CN"/>
              </w:rPr>
            </w:pPr>
            <w:r>
              <w:rPr>
                <w:rFonts w:hint="eastAsia" w:cs="宋体"/>
                <w:sz w:val="18"/>
                <w:szCs w:val="18"/>
                <w:lang w:val="en-US" w:eastAsia="zh-CN"/>
              </w:rPr>
              <w:t>624</w:t>
            </w:r>
          </w:p>
        </w:tc>
        <w:tc>
          <w:tcPr>
            <w:tcW w:w="588" w:type="dxa"/>
            <w:gridSpan w:val="2"/>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r>
              <w:rPr>
                <w:rFonts w:hint="eastAsia" w:cs="宋体"/>
                <w:sz w:val="18"/>
                <w:szCs w:val="18"/>
                <w:lang w:val="en-US" w:eastAsia="zh-CN"/>
              </w:rPr>
              <w:t>80</w:t>
            </w:r>
          </w:p>
        </w:tc>
        <w:tc>
          <w:tcPr>
            <w:tcW w:w="565"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cs="宋体"/>
                <w:sz w:val="18"/>
                <w:szCs w:val="18"/>
                <w:lang w:val="en-US" w:eastAsia="zh-CN"/>
              </w:rPr>
            </w:pPr>
            <w:r>
              <w:rPr>
                <w:rFonts w:hint="eastAsia" w:cs="宋体"/>
                <w:sz w:val="18"/>
                <w:szCs w:val="18"/>
                <w:lang w:val="en-US" w:eastAsia="zh-CN"/>
              </w:rPr>
              <w:t>544</w:t>
            </w:r>
          </w:p>
        </w:tc>
        <w:tc>
          <w:tcPr>
            <w:tcW w:w="635"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08"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42"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485"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77" w:type="dxa"/>
            <w:gridSpan w:val="2"/>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588"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935"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c>
          <w:tcPr>
            <w:tcW w:w="1512" w:type="dxa"/>
            <w:shd w:val="clear" w:color="auto" w:fill="F7CAAC" w:themeFill="accent2"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010" w:type="dxa"/>
            <w:gridSpan w:val="6"/>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sz w:val="18"/>
                <w:szCs w:val="18"/>
                <w:lang w:val="en-US" w:eastAsia="zh-CN" w:bidi="ar-SA"/>
              </w:rPr>
            </w:pPr>
            <w:r>
              <w:rPr>
                <w:rFonts w:hint="eastAsia" w:ascii="宋体" w:hAnsi="宋体" w:eastAsia="宋体" w:cs="宋体"/>
                <w:b/>
                <w:sz w:val="18"/>
                <w:szCs w:val="18"/>
              </w:rPr>
              <w:t>总计</w:t>
            </w:r>
          </w:p>
        </w:tc>
        <w:tc>
          <w:tcPr>
            <w:tcW w:w="635" w:type="dxa"/>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sz w:val="18"/>
                <w:szCs w:val="18"/>
                <w:lang w:val="en-US" w:eastAsia="zh-CN" w:bidi="ar-SA"/>
              </w:rPr>
            </w:pPr>
            <w:r>
              <w:rPr>
                <w:rFonts w:hint="eastAsia" w:cs="宋体"/>
                <w:b/>
                <w:sz w:val="18"/>
                <w:szCs w:val="18"/>
                <w:lang w:val="en-US" w:eastAsia="zh-CN"/>
              </w:rPr>
              <w:t>164</w:t>
            </w:r>
          </w:p>
        </w:tc>
        <w:tc>
          <w:tcPr>
            <w:tcW w:w="623" w:type="dxa"/>
            <w:gridSpan w:val="2"/>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sz w:val="18"/>
                <w:szCs w:val="18"/>
                <w:lang w:val="en-US" w:eastAsia="zh-CN" w:bidi="ar-SA"/>
              </w:rPr>
              <w:t>2834</w:t>
            </w:r>
          </w:p>
        </w:tc>
        <w:tc>
          <w:tcPr>
            <w:tcW w:w="588" w:type="dxa"/>
            <w:gridSpan w:val="2"/>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sz w:val="18"/>
                <w:szCs w:val="18"/>
                <w:lang w:val="en-US" w:eastAsia="zh-CN" w:bidi="ar-SA"/>
              </w:rPr>
              <w:t>1812</w:t>
            </w:r>
          </w:p>
        </w:tc>
        <w:tc>
          <w:tcPr>
            <w:tcW w:w="565" w:type="dxa"/>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sz w:val="18"/>
                <w:szCs w:val="18"/>
                <w:lang w:val="en-US" w:eastAsia="zh-CN" w:bidi="ar-SA"/>
              </w:rPr>
              <w:t>1022</w:t>
            </w:r>
          </w:p>
        </w:tc>
        <w:tc>
          <w:tcPr>
            <w:tcW w:w="635" w:type="dxa"/>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sz w:val="18"/>
                <w:szCs w:val="18"/>
                <w:lang w:val="en-US" w:eastAsia="zh-CN" w:bidi="ar-SA"/>
              </w:rPr>
              <w:t>28</w:t>
            </w:r>
          </w:p>
        </w:tc>
        <w:tc>
          <w:tcPr>
            <w:tcW w:w="508" w:type="dxa"/>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sz w:val="18"/>
                <w:szCs w:val="18"/>
                <w:lang w:val="en-US" w:eastAsia="zh-CN" w:bidi="ar-SA"/>
              </w:rPr>
              <w:t>28</w:t>
            </w:r>
          </w:p>
        </w:tc>
        <w:tc>
          <w:tcPr>
            <w:tcW w:w="542" w:type="dxa"/>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sz w:val="18"/>
                <w:szCs w:val="18"/>
                <w:lang w:val="en-US" w:eastAsia="zh-CN" w:bidi="ar-SA"/>
              </w:rPr>
              <w:t>28</w:t>
            </w:r>
          </w:p>
        </w:tc>
        <w:tc>
          <w:tcPr>
            <w:tcW w:w="485" w:type="dxa"/>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default" w:ascii="宋体" w:hAnsi="宋体" w:eastAsia="宋体" w:cs="宋体"/>
                <w:sz w:val="18"/>
                <w:szCs w:val="18"/>
                <w:lang w:val="en-US" w:eastAsia="zh-CN" w:bidi="ar-SA"/>
              </w:rPr>
            </w:pPr>
            <w:r>
              <w:rPr>
                <w:rFonts w:hint="eastAsia" w:cs="宋体"/>
                <w:sz w:val="18"/>
                <w:szCs w:val="18"/>
                <w:lang w:val="en-US" w:eastAsia="zh-CN" w:bidi="ar-SA"/>
              </w:rPr>
              <w:t>28</w:t>
            </w:r>
          </w:p>
        </w:tc>
        <w:tc>
          <w:tcPr>
            <w:tcW w:w="577" w:type="dxa"/>
            <w:gridSpan w:val="2"/>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588" w:type="dxa"/>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935" w:type="dxa"/>
            <w:shd w:val="clear" w:color="auto" w:fill="BDD6EE" w:themeFill="accent1" w:themeFillTint="66"/>
            <w:vAlign w:val="center"/>
          </w:tcPr>
          <w:p>
            <w:pPr>
              <w:pStyle w:val="19"/>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sz w:val="18"/>
                <w:szCs w:val="18"/>
                <w:lang w:val="en-US" w:eastAsia="zh-CN" w:bidi="ar-SA"/>
              </w:rPr>
            </w:pPr>
          </w:p>
        </w:tc>
        <w:tc>
          <w:tcPr>
            <w:tcW w:w="1512" w:type="dxa"/>
            <w:shd w:val="clear" w:color="auto" w:fill="BDD6EE" w:themeFill="accent1" w:themeFillTint="66"/>
            <w:vAlign w:val="center"/>
          </w:tcPr>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cs="宋体"/>
                <w:sz w:val="18"/>
                <w:szCs w:val="18"/>
                <w:lang w:val="en-US" w:eastAsia="zh-CN"/>
              </w:rPr>
            </w:pPr>
          </w:p>
        </w:tc>
      </w:tr>
    </w:tbl>
    <w:p>
      <w:pPr>
        <w:spacing w:before="84"/>
        <w:rPr>
          <w:sz w:val="21"/>
          <w:szCs w:val="28"/>
          <w:lang w:eastAsia="zh-CN"/>
        </w:rPr>
      </w:pPr>
      <w:r>
        <w:rPr>
          <w:sz w:val="21"/>
          <w:szCs w:val="28"/>
          <w:lang w:eastAsia="zh-CN"/>
        </w:rPr>
        <w:t>说明：</w:t>
      </w:r>
      <w:r>
        <w:rPr>
          <w:rFonts w:ascii="Times New Roman" w:hAnsi="Times New Roman" w:eastAsia="Times New Roman"/>
          <w:sz w:val="21"/>
          <w:szCs w:val="28"/>
          <w:lang w:eastAsia="zh-CN"/>
        </w:rPr>
        <w:t xml:space="preserve">1. </w:t>
      </w:r>
      <w:r>
        <w:rPr>
          <w:sz w:val="21"/>
          <w:szCs w:val="28"/>
          <w:lang w:eastAsia="zh-CN"/>
        </w:rPr>
        <w:t>★表示考试，其余为考查；⊕表示课程实践在课外进行</w:t>
      </w:r>
      <w:r>
        <w:rPr>
          <w:rFonts w:hint="eastAsia"/>
          <w:sz w:val="21"/>
          <w:szCs w:val="28"/>
          <w:lang w:eastAsia="zh-CN"/>
        </w:rPr>
        <w:t>。</w:t>
      </w:r>
    </w:p>
    <w:p>
      <w:pPr>
        <w:pStyle w:val="24"/>
        <w:numPr>
          <w:ilvl w:val="0"/>
          <w:numId w:val="0"/>
        </w:numPr>
        <w:tabs>
          <w:tab w:val="left" w:pos="778"/>
        </w:tabs>
        <w:spacing w:before="81" w:line="324" w:lineRule="auto"/>
        <w:ind w:leftChars="0" w:right="101" w:rightChars="0" w:firstLine="630" w:firstLineChars="300"/>
        <w:rPr>
          <w:rFonts w:hint="default"/>
          <w:sz w:val="21"/>
          <w:szCs w:val="28"/>
          <w:lang w:val="en-US" w:eastAsia="zh-CN"/>
        </w:rPr>
      </w:pPr>
      <w:r>
        <w:rPr>
          <w:rFonts w:hint="eastAsia"/>
          <w:sz w:val="21"/>
          <w:szCs w:val="28"/>
          <w:lang w:val="en-US" w:eastAsia="zh-CN"/>
        </w:rPr>
        <w:t>2.线上选修课共8门在第三、第四学期开设，每学期最多限选2门，每学期最多获得2学分，共4学分。</w:t>
      </w:r>
    </w:p>
    <w:p>
      <w:pPr>
        <w:pStyle w:val="24"/>
        <w:numPr>
          <w:ilvl w:val="0"/>
          <w:numId w:val="0"/>
        </w:numPr>
        <w:tabs>
          <w:tab w:val="left" w:pos="778"/>
        </w:tabs>
        <w:spacing w:before="81" w:line="324" w:lineRule="auto"/>
        <w:ind w:leftChars="0" w:right="101" w:rightChars="0"/>
        <w:rPr>
          <w:rFonts w:hint="default"/>
          <w:sz w:val="21"/>
          <w:szCs w:val="28"/>
          <w:lang w:val="en-US" w:eastAsia="zh-CN"/>
        </w:rPr>
      </w:pPr>
      <w:r>
        <w:rPr>
          <w:rFonts w:hint="eastAsia"/>
          <w:sz w:val="21"/>
          <w:szCs w:val="28"/>
          <w:lang w:val="en-US" w:eastAsia="zh-CN"/>
        </w:rPr>
        <w:t xml:space="preserve">      3.线下选修课共4门在第三、第四学期开设，每学期开设2门，每学期获得4学分，共计8学分。</w:t>
      </w:r>
    </w:p>
    <w:p>
      <w:pPr>
        <w:pStyle w:val="24"/>
        <w:numPr>
          <w:ilvl w:val="0"/>
          <w:numId w:val="0"/>
        </w:numPr>
        <w:tabs>
          <w:tab w:val="left" w:pos="778"/>
        </w:tabs>
        <w:spacing w:before="81" w:line="324" w:lineRule="auto"/>
        <w:ind w:leftChars="0" w:right="101" w:rightChars="0"/>
        <w:rPr>
          <w:lang w:eastAsia="zh-CN"/>
        </w:rPr>
        <w:sectPr>
          <w:pgSz w:w="16840" w:h="11910" w:orient="landscape"/>
          <w:pgMar w:top="1180" w:right="1480" w:bottom="1180" w:left="1700" w:header="877" w:footer="995" w:gutter="0"/>
          <w:pgBorders>
            <w:top w:val="none" w:sz="0" w:space="0"/>
            <w:left w:val="none" w:sz="0" w:space="0"/>
            <w:bottom w:val="none" w:sz="0" w:space="0"/>
            <w:right w:val="none" w:sz="0" w:space="0"/>
          </w:pgBorders>
          <w:cols w:space="720" w:num="1"/>
        </w:sectPr>
      </w:pPr>
      <w:r>
        <w:rPr>
          <w:rFonts w:hint="eastAsia"/>
          <w:sz w:val="21"/>
          <w:szCs w:val="28"/>
          <w:lang w:val="en-US" w:eastAsia="zh-CN"/>
        </w:rPr>
        <w:t xml:space="preserve">      4.学分总计164，包括公共基础课43学分、专业课70学分、实验实训39学分、专业选修课12学分。</w:t>
      </w:r>
    </w:p>
    <w:p>
      <w:pPr>
        <w:spacing w:before="120" w:beforeLines="50" w:after="120" w:afterLines="50" w:line="440" w:lineRule="exact"/>
        <w:outlineLvl w:val="1"/>
        <w:rPr>
          <w:b/>
          <w:color w:val="000000"/>
          <w:sz w:val="28"/>
          <w:szCs w:val="28"/>
          <w:lang w:eastAsia="zh-CN"/>
        </w:rPr>
      </w:pPr>
      <w:bookmarkStart w:id="28" w:name="_Toc22710"/>
      <w:r>
        <w:rPr>
          <w:rFonts w:hint="eastAsia"/>
          <w:b/>
          <w:color w:val="000000"/>
          <w:sz w:val="24"/>
          <w:szCs w:val="24"/>
          <w:lang w:eastAsia="zh-CN"/>
        </w:rPr>
        <w:t>（三）职业技能等级证书考核要求与时间安排</w:t>
      </w:r>
      <w:bookmarkEnd w:id="28"/>
    </w:p>
    <w:p>
      <w:pPr>
        <w:pStyle w:val="7"/>
        <w:spacing w:before="4"/>
        <w:rPr>
          <w:b/>
          <w:sz w:val="6"/>
          <w:lang w:eastAsia="zh-CN"/>
        </w:rPr>
      </w:pPr>
    </w:p>
    <w:tbl>
      <w:tblPr>
        <w:tblStyle w:val="20"/>
        <w:tblW w:w="91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6"/>
        <w:gridCol w:w="704"/>
        <w:gridCol w:w="1398"/>
        <w:gridCol w:w="3476"/>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2446" w:type="dxa"/>
          </w:tcPr>
          <w:p>
            <w:pPr>
              <w:pStyle w:val="19"/>
              <w:spacing w:before="142"/>
              <w:ind w:left="777"/>
              <w:rPr>
                <w:b/>
              </w:rPr>
            </w:pPr>
            <w:r>
              <w:rPr>
                <w:b/>
              </w:rPr>
              <w:t>证书名称</w:t>
            </w:r>
          </w:p>
        </w:tc>
        <w:tc>
          <w:tcPr>
            <w:tcW w:w="704" w:type="dxa"/>
          </w:tcPr>
          <w:p>
            <w:pPr>
              <w:pStyle w:val="19"/>
              <w:spacing w:before="142"/>
              <w:ind w:left="108" w:right="103"/>
              <w:jc w:val="center"/>
              <w:rPr>
                <w:b/>
              </w:rPr>
            </w:pPr>
            <w:r>
              <w:rPr>
                <w:b/>
              </w:rPr>
              <w:t>等级</w:t>
            </w:r>
          </w:p>
        </w:tc>
        <w:tc>
          <w:tcPr>
            <w:tcW w:w="1398" w:type="dxa"/>
          </w:tcPr>
          <w:p>
            <w:pPr>
              <w:pStyle w:val="19"/>
              <w:spacing w:before="142"/>
              <w:ind w:left="232" w:right="231"/>
              <w:jc w:val="center"/>
              <w:rPr>
                <w:b/>
              </w:rPr>
            </w:pPr>
            <w:r>
              <w:rPr>
                <w:b/>
              </w:rPr>
              <w:t>考核时间</w:t>
            </w:r>
          </w:p>
        </w:tc>
        <w:tc>
          <w:tcPr>
            <w:tcW w:w="3476" w:type="dxa"/>
          </w:tcPr>
          <w:p>
            <w:pPr>
              <w:pStyle w:val="19"/>
              <w:spacing w:before="142"/>
              <w:ind w:left="851"/>
              <w:rPr>
                <w:b/>
              </w:rPr>
            </w:pPr>
            <w:r>
              <w:rPr>
                <w:b/>
              </w:rPr>
              <w:t>对应专业核心课程</w:t>
            </w:r>
          </w:p>
        </w:tc>
        <w:tc>
          <w:tcPr>
            <w:tcW w:w="1098" w:type="dxa"/>
          </w:tcPr>
          <w:p>
            <w:pPr>
              <w:pStyle w:val="19"/>
              <w:spacing w:before="142"/>
              <w:ind w:left="302" w:right="302"/>
              <w:jc w:val="center"/>
              <w:rPr>
                <w:b/>
              </w:rPr>
            </w:pPr>
            <w:r>
              <w:rPr>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244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物流管理职业技能等级证书</w:t>
            </w:r>
          </w:p>
        </w:tc>
        <w:tc>
          <w:tcPr>
            <w:tcW w:w="70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中级</w:t>
            </w:r>
          </w:p>
        </w:tc>
        <w:tc>
          <w:tcPr>
            <w:tcW w:w="1398"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第四学期</w:t>
            </w:r>
          </w:p>
        </w:tc>
        <w:tc>
          <w:tcPr>
            <w:tcW w:w="347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仓储管理、配送管理、</w:t>
            </w:r>
          </w:p>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运输管理、供应链管理</w:t>
            </w:r>
          </w:p>
        </w:tc>
        <w:tc>
          <w:tcPr>
            <w:tcW w:w="1098"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选考</w:t>
            </w:r>
          </w:p>
        </w:tc>
      </w:tr>
    </w:tbl>
    <w:p>
      <w:pPr>
        <w:spacing w:before="38"/>
        <w:ind w:left="700"/>
        <w:rPr>
          <w:sz w:val="18"/>
          <w:lang w:eastAsia="zh-CN"/>
        </w:rPr>
      </w:pPr>
      <w:r>
        <w:rPr>
          <w:sz w:val="18"/>
          <w:lang w:eastAsia="zh-CN"/>
        </w:rPr>
        <w:t>说明：等级：初级、中级、高级；</w:t>
      </w:r>
    </w:p>
    <w:p>
      <w:pPr>
        <w:spacing w:before="120" w:beforeLines="50" w:after="120" w:afterLines="50" w:line="440" w:lineRule="exact"/>
        <w:ind w:left="440"/>
        <w:outlineLvl w:val="1"/>
        <w:rPr>
          <w:b/>
          <w:color w:val="000000"/>
          <w:sz w:val="24"/>
          <w:szCs w:val="24"/>
          <w:lang w:eastAsia="zh-CN"/>
        </w:rPr>
      </w:pPr>
      <w:bookmarkStart w:id="29" w:name="_Toc26651"/>
      <w:r>
        <w:rPr>
          <w:rFonts w:hint="eastAsia"/>
          <w:b/>
          <w:color w:val="000000"/>
          <w:sz w:val="24"/>
          <w:szCs w:val="24"/>
          <w:lang w:eastAsia="zh-CN"/>
        </w:rPr>
        <w:t>（四）</w:t>
      </w:r>
      <w:r>
        <w:rPr>
          <w:rFonts w:hint="eastAsia"/>
          <w:b/>
          <w:color w:val="000000"/>
          <w:sz w:val="24"/>
          <w:szCs w:val="24"/>
          <w:lang w:val="en-US" w:eastAsia="zh-CN"/>
        </w:rPr>
        <w:t>跟岗、</w:t>
      </w:r>
      <w:r>
        <w:rPr>
          <w:rFonts w:hint="eastAsia"/>
          <w:b/>
          <w:color w:val="000000"/>
          <w:sz w:val="24"/>
          <w:szCs w:val="24"/>
          <w:lang w:eastAsia="zh-CN"/>
        </w:rPr>
        <w:t>顶岗实习活动安排表</w:t>
      </w:r>
      <w:bookmarkEnd w:id="29"/>
    </w:p>
    <w:tbl>
      <w:tblPr>
        <w:tblStyle w:val="14"/>
        <w:tblW w:w="8745" w:type="dxa"/>
        <w:jc w:val="center"/>
        <w:tblLayout w:type="autofit"/>
        <w:tblCellMar>
          <w:top w:w="0" w:type="dxa"/>
          <w:left w:w="108" w:type="dxa"/>
          <w:bottom w:w="0" w:type="dxa"/>
          <w:right w:w="108" w:type="dxa"/>
        </w:tblCellMar>
      </w:tblPr>
      <w:tblGrid>
        <w:gridCol w:w="690"/>
        <w:gridCol w:w="1617"/>
        <w:gridCol w:w="1064"/>
        <w:gridCol w:w="3149"/>
        <w:gridCol w:w="2225"/>
      </w:tblGrid>
      <w:tr>
        <w:tblPrEx>
          <w:tblCellMar>
            <w:top w:w="0" w:type="dxa"/>
            <w:left w:w="108" w:type="dxa"/>
            <w:bottom w:w="0" w:type="dxa"/>
            <w:right w:w="108" w:type="dxa"/>
          </w:tblCellMar>
        </w:tblPrEx>
        <w:trPr>
          <w:trHeight w:val="3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目</w:t>
            </w:r>
          </w:p>
          <w:p>
            <w:pPr>
              <w:widowControl/>
              <w:jc w:val="center"/>
              <w:textAlignment w:val="center"/>
              <w:rPr>
                <w:b/>
                <w:bCs/>
                <w:color w:val="000000"/>
                <w:sz w:val="24"/>
                <w:szCs w:val="24"/>
              </w:rPr>
            </w:pPr>
            <w:r>
              <w:rPr>
                <w:rFonts w:hint="eastAsia"/>
                <w:b/>
                <w:bCs/>
                <w:color w:val="000000"/>
                <w:sz w:val="24"/>
                <w:szCs w:val="24"/>
                <w:lang w:eastAsia="zh-CN" w:bidi="ar"/>
              </w:rPr>
              <w:t>标</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val="en-US" w:eastAsia="zh-CN" w:bidi="ar"/>
              </w:rPr>
              <w:t>跟岗、</w:t>
            </w:r>
            <w:r>
              <w:rPr>
                <w:rFonts w:hint="eastAsia"/>
                <w:color w:val="000000"/>
                <w:sz w:val="24"/>
                <w:szCs w:val="24"/>
                <w:lang w:eastAsia="zh-CN" w:bidi="ar"/>
              </w:rPr>
              <w:t>顶岗实习（含毕业设计）是实践教学中的重要环节，目的是全面运用所学理论和专业知识，进行综合实践训练，进一步提高学生的专业技能，为毕业后从事专业工作打下良好基础。</w:t>
            </w:r>
          </w:p>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eastAsia="zh-CN" w:bidi="ar"/>
              </w:rPr>
              <w:t>1．通过企业</w:t>
            </w:r>
            <w:r>
              <w:rPr>
                <w:rFonts w:hint="eastAsia"/>
                <w:color w:val="000000"/>
                <w:sz w:val="24"/>
                <w:szCs w:val="24"/>
                <w:lang w:val="en-US" w:eastAsia="zh-CN" w:bidi="ar"/>
              </w:rPr>
              <w:t>跟岗实习和</w:t>
            </w:r>
            <w:r>
              <w:rPr>
                <w:rFonts w:hint="eastAsia"/>
                <w:color w:val="000000"/>
                <w:sz w:val="24"/>
                <w:szCs w:val="24"/>
                <w:lang w:eastAsia="zh-CN" w:bidi="ar"/>
              </w:rPr>
              <w:t>顶岗实习，使学生进一步巩固课堂教学中所学到的知识，做到理论知识与生产实践有机结合，为就业做好准备；</w:t>
            </w:r>
          </w:p>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eastAsia="zh-CN" w:bidi="ar"/>
              </w:rPr>
              <w:t>2.熟悉</w:t>
            </w:r>
            <w:r>
              <w:rPr>
                <w:rFonts w:hint="eastAsia"/>
                <w:color w:val="000000"/>
                <w:sz w:val="24"/>
                <w:szCs w:val="24"/>
                <w:lang w:val="en-US" w:eastAsia="zh-CN" w:bidi="ar"/>
              </w:rPr>
              <w:t>现代物流管理</w:t>
            </w:r>
            <w:r>
              <w:rPr>
                <w:rFonts w:hint="eastAsia"/>
                <w:color w:val="000000"/>
                <w:sz w:val="24"/>
                <w:szCs w:val="24"/>
                <w:lang w:eastAsia="zh-CN" w:bidi="ar"/>
              </w:rPr>
              <w:t>专业所学知识，扩大知识面，进一步提高分析问题和实际动手的能力；</w:t>
            </w:r>
          </w:p>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eastAsia="zh-CN" w:bidi="ar"/>
              </w:rPr>
              <w:t>3.在实习过程中，应结合毕业设计进行调查研究，收集有关资料，为以后的毕业设计作品和撰写毕业论文打下良好基础；</w:t>
            </w:r>
          </w:p>
          <w:p>
            <w:pPr>
              <w:widowControl/>
              <w:ind w:firstLine="480" w:firstLineChars="200"/>
              <w:jc w:val="both"/>
              <w:textAlignment w:val="center"/>
              <w:rPr>
                <w:color w:val="000000"/>
                <w:sz w:val="24"/>
                <w:szCs w:val="24"/>
                <w:lang w:eastAsia="zh-CN"/>
              </w:rPr>
            </w:pPr>
            <w:r>
              <w:rPr>
                <w:rFonts w:hint="eastAsia"/>
                <w:color w:val="000000"/>
                <w:sz w:val="24"/>
                <w:szCs w:val="24"/>
                <w:lang w:eastAsia="zh-CN" w:bidi="ar"/>
              </w:rPr>
              <w:t>4.</w:t>
            </w:r>
            <w:r>
              <w:rPr>
                <w:rFonts w:hint="eastAsia"/>
                <w:color w:val="000000"/>
                <w:sz w:val="24"/>
                <w:szCs w:val="24"/>
                <w:lang w:val="en-US" w:eastAsia="zh-CN" w:bidi="ar"/>
              </w:rPr>
              <w:t>跟岗实习由指定实习指导教师到达指定实习单位进行，时间为17周</w:t>
            </w:r>
            <w:r>
              <w:rPr>
                <w:rFonts w:hint="eastAsia"/>
                <w:color w:val="000000"/>
                <w:sz w:val="24"/>
                <w:szCs w:val="24"/>
                <w:lang w:eastAsia="zh-CN" w:bidi="ar"/>
              </w:rPr>
              <w:t>。</w:t>
            </w:r>
            <w:r>
              <w:rPr>
                <w:rFonts w:hint="eastAsia"/>
                <w:color w:val="000000"/>
                <w:sz w:val="24"/>
                <w:szCs w:val="24"/>
                <w:lang w:val="en-US" w:eastAsia="zh-CN" w:bidi="ar"/>
              </w:rPr>
              <w:t>顶岗实习</w:t>
            </w:r>
            <w:r>
              <w:rPr>
                <w:rFonts w:hint="eastAsia"/>
                <w:color w:val="000000"/>
                <w:sz w:val="24"/>
                <w:szCs w:val="24"/>
                <w:lang w:eastAsia="zh-CN" w:bidi="ar"/>
              </w:rPr>
              <w:t xml:space="preserve">学生按个人需求分组后，到相关实习单位进行相关项目实习，时间为 </w:t>
            </w:r>
            <w:r>
              <w:rPr>
                <w:rFonts w:hint="eastAsia"/>
                <w:color w:val="000000"/>
                <w:sz w:val="24"/>
                <w:szCs w:val="24"/>
                <w:lang w:val="en-US" w:eastAsia="zh-CN" w:bidi="ar"/>
              </w:rPr>
              <w:t>17</w:t>
            </w:r>
            <w:r>
              <w:rPr>
                <w:rFonts w:hint="eastAsia"/>
                <w:color w:val="000000"/>
                <w:sz w:val="24"/>
                <w:szCs w:val="24"/>
                <w:lang w:eastAsia="zh-CN" w:bidi="ar"/>
              </w:rPr>
              <w:t xml:space="preserve"> 周。</w:t>
            </w:r>
          </w:p>
        </w:tc>
      </w:tr>
      <w:tr>
        <w:tblPrEx>
          <w:tblCellMar>
            <w:top w:w="0" w:type="dxa"/>
            <w:left w:w="108" w:type="dxa"/>
            <w:bottom w:w="0" w:type="dxa"/>
            <w:right w:w="108" w:type="dxa"/>
          </w:tblCellMar>
        </w:tblPrEx>
        <w:trPr>
          <w:trHeight w:val="50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安</w:t>
            </w:r>
          </w:p>
          <w:p>
            <w:pPr>
              <w:widowControl/>
              <w:jc w:val="center"/>
              <w:textAlignment w:val="center"/>
              <w:rPr>
                <w:b/>
                <w:bCs/>
                <w:color w:val="000000"/>
                <w:sz w:val="24"/>
                <w:szCs w:val="24"/>
              </w:rPr>
            </w:pPr>
            <w:r>
              <w:rPr>
                <w:rFonts w:hint="eastAsia"/>
                <w:b/>
                <w:bCs/>
                <w:color w:val="000000"/>
                <w:sz w:val="24"/>
                <w:szCs w:val="24"/>
                <w:lang w:eastAsia="zh-CN" w:bidi="ar"/>
              </w:rPr>
              <w:t>排</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实习项目</w:t>
            </w:r>
          </w:p>
        </w:tc>
        <w:tc>
          <w:tcPr>
            <w:tcW w:w="106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周数</w:t>
            </w:r>
          </w:p>
        </w:tc>
        <w:tc>
          <w:tcPr>
            <w:tcW w:w="314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实习内容</w:t>
            </w:r>
          </w:p>
        </w:tc>
        <w:tc>
          <w:tcPr>
            <w:tcW w:w="222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实习单位</w:t>
            </w:r>
          </w:p>
        </w:tc>
      </w:tr>
      <w:tr>
        <w:tblPrEx>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lang w:val="en-US" w:eastAsia="zh-CN"/>
              </w:rPr>
            </w:pPr>
            <w:r>
              <w:rPr>
                <w:rFonts w:hint="eastAsia"/>
                <w:color w:val="000000"/>
                <w:lang w:val="en-US" w:eastAsia="zh-CN"/>
              </w:rPr>
              <w:t>库内作业</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lang w:val="en-US"/>
              </w:rPr>
            </w:pPr>
            <w:r>
              <w:rPr>
                <w:rFonts w:hint="eastAsia"/>
                <w:color w:val="000000"/>
                <w:lang w:val="en-US" w:eastAsia="zh-CN" w:bidi="ar"/>
              </w:rPr>
              <w:t>34</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lang w:val="en-US" w:eastAsia="zh-CN"/>
              </w:rPr>
            </w:pPr>
            <w:r>
              <w:rPr>
                <w:rFonts w:hint="eastAsia"/>
                <w:color w:val="000000"/>
                <w:lang w:val="en-US" w:eastAsia="zh-CN" w:bidi="ar"/>
              </w:rPr>
              <w:t>货物拣选、配送、打包作业等</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lang w:val="en-US" w:eastAsia="zh-CN"/>
              </w:rPr>
            </w:pPr>
            <w:r>
              <w:rPr>
                <w:rFonts w:hint="eastAsia"/>
                <w:color w:val="auto"/>
                <w:lang w:val="en-US" w:eastAsia="zh-CN"/>
              </w:rPr>
              <w:t>森马（嘉兴）物流投资有限公司</w:t>
            </w:r>
          </w:p>
        </w:tc>
      </w:tr>
      <w:tr>
        <w:tblPrEx>
          <w:tblCellMar>
            <w:top w:w="0" w:type="dxa"/>
            <w:left w:w="108" w:type="dxa"/>
            <w:bottom w:w="0" w:type="dxa"/>
            <w:right w:w="108" w:type="dxa"/>
          </w:tblCellMar>
        </w:tblPrEx>
        <w:trPr>
          <w:trHeight w:val="4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color w:val="000000"/>
                <w:sz w:val="20"/>
                <w:szCs w:val="20"/>
                <w:lang w:eastAsia="zh-CN"/>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lang w:eastAsia="zh-CN"/>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lang w:eastAsia="zh-CN"/>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3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教</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师</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要</w:t>
            </w:r>
          </w:p>
          <w:p>
            <w:pPr>
              <w:widowControl/>
              <w:jc w:val="center"/>
              <w:textAlignment w:val="center"/>
              <w:rPr>
                <w:b/>
                <w:bCs/>
                <w:color w:val="000000"/>
                <w:sz w:val="24"/>
                <w:szCs w:val="24"/>
              </w:rPr>
            </w:pPr>
            <w:r>
              <w:rPr>
                <w:rFonts w:hint="eastAsia"/>
                <w:b/>
                <w:bCs/>
                <w:color w:val="000000"/>
                <w:sz w:val="24"/>
                <w:szCs w:val="24"/>
                <w:lang w:eastAsia="zh-CN" w:bidi="ar"/>
              </w:rPr>
              <w:t>求</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color w:val="000000"/>
                <w:sz w:val="21"/>
                <w:szCs w:val="21"/>
                <w:lang w:eastAsia="zh-CN"/>
              </w:rPr>
            </w:pPr>
            <w:r>
              <w:rPr>
                <w:rFonts w:hint="eastAsia"/>
                <w:color w:val="000000"/>
                <w:sz w:val="24"/>
                <w:szCs w:val="24"/>
                <w:lang w:eastAsia="zh-CN" w:bidi="ar"/>
              </w:rPr>
              <w:t>实习指导教师由具有一定专业实践经验的专业教师担任，善于组织管理学生，并</w:t>
            </w:r>
            <w:r>
              <w:rPr>
                <w:rFonts w:hint="eastAsia"/>
                <w:color w:val="000000"/>
                <w:sz w:val="24"/>
                <w:szCs w:val="24"/>
                <w:lang w:val="en-US" w:eastAsia="zh-CN" w:bidi="ar"/>
              </w:rPr>
              <w:t>可以</w:t>
            </w:r>
            <w:r>
              <w:rPr>
                <w:rFonts w:hint="eastAsia"/>
                <w:color w:val="000000"/>
                <w:sz w:val="24"/>
                <w:szCs w:val="24"/>
                <w:lang w:eastAsia="zh-CN" w:bidi="ar"/>
              </w:rPr>
              <w:t>根据具体条件及时调整指导方法和实习内容，要定期采用各种形式联系学生，深入实习单位检查、督促学生做好实习工作，并对学生</w:t>
            </w:r>
            <w:r>
              <w:rPr>
                <w:rFonts w:hint="eastAsia"/>
                <w:color w:val="000000"/>
                <w:sz w:val="24"/>
                <w:szCs w:val="24"/>
                <w:lang w:val="en-US" w:eastAsia="zh-CN" w:bidi="ar"/>
              </w:rPr>
              <w:t>跟岗、</w:t>
            </w:r>
            <w:r>
              <w:rPr>
                <w:rFonts w:hint="eastAsia"/>
                <w:color w:val="000000"/>
                <w:sz w:val="24"/>
                <w:szCs w:val="24"/>
                <w:lang w:eastAsia="zh-CN" w:bidi="ar"/>
              </w:rPr>
              <w:t>顶岗实习的情况做到心中有数，及时了解实习中存在的问题，收集实习学生的意见和建议，总结实习的经验。对学生从事的</w:t>
            </w:r>
            <w:r>
              <w:rPr>
                <w:rFonts w:hint="eastAsia"/>
                <w:color w:val="000000"/>
                <w:sz w:val="24"/>
                <w:szCs w:val="24"/>
                <w:lang w:val="en-US" w:eastAsia="zh-CN" w:bidi="ar"/>
              </w:rPr>
              <w:t>仓内作业</w:t>
            </w:r>
            <w:r>
              <w:rPr>
                <w:rFonts w:hint="eastAsia"/>
                <w:color w:val="000000"/>
                <w:sz w:val="24"/>
                <w:szCs w:val="24"/>
                <w:lang w:eastAsia="zh-CN" w:bidi="ar"/>
              </w:rPr>
              <w:t>岗位的工作予以指导，解决学生在实习工作中遇到的各种问题。及时疏导学生的心理，在学生遇到困难后，及时与学生进行交流沟通，解决学生的专业困难以及实际工作中的交流沟通困难。</w:t>
            </w:r>
          </w:p>
        </w:tc>
      </w:tr>
      <w:tr>
        <w:tblPrEx>
          <w:tblCellMar>
            <w:top w:w="0" w:type="dxa"/>
            <w:left w:w="108" w:type="dxa"/>
            <w:bottom w:w="0" w:type="dxa"/>
            <w:right w:w="108" w:type="dxa"/>
          </w:tblCellMar>
        </w:tblPrEx>
        <w:trPr>
          <w:trHeight w:val="23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学</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生</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要</w:t>
            </w:r>
          </w:p>
          <w:p>
            <w:pPr>
              <w:widowControl/>
              <w:jc w:val="center"/>
              <w:textAlignment w:val="center"/>
              <w:rPr>
                <w:b/>
                <w:bCs/>
                <w:color w:val="000000"/>
                <w:sz w:val="24"/>
                <w:szCs w:val="24"/>
              </w:rPr>
            </w:pPr>
            <w:r>
              <w:rPr>
                <w:rFonts w:hint="eastAsia"/>
                <w:b/>
                <w:bCs/>
                <w:color w:val="000000"/>
                <w:sz w:val="24"/>
                <w:szCs w:val="24"/>
                <w:lang w:eastAsia="zh-CN" w:bidi="ar"/>
              </w:rPr>
              <w:t>求</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1.学生在实习期间要做好各类报告、实习等各个环节的记录，笔记要求认真详实；详细的记录在实习岗位上从事的工作情况；</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2.实习结束时，要求每一名学生写出一份实习报告；实习报告应详实的反应实习工作中遇到的各种问题、解决办法、总结的经验；</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3.顶岗实习应与</w:t>
            </w:r>
            <w:r>
              <w:rPr>
                <w:rFonts w:hint="eastAsia" w:asciiTheme="minorEastAsia" w:hAnsiTheme="minorEastAsia" w:eastAsiaTheme="minorEastAsia" w:cstheme="minorEastAsia"/>
                <w:color w:val="000000"/>
                <w:sz w:val="24"/>
                <w:szCs w:val="24"/>
                <w:lang w:val="en-US" w:eastAsia="zh-CN" w:bidi="ar"/>
              </w:rPr>
              <w:t>仓储管理、车辆调度、信息处理</w:t>
            </w:r>
            <w:r>
              <w:rPr>
                <w:rFonts w:hint="eastAsia" w:asciiTheme="minorEastAsia" w:hAnsiTheme="minorEastAsia" w:eastAsiaTheme="minorEastAsia" w:cstheme="minorEastAsia"/>
                <w:color w:val="000000"/>
                <w:sz w:val="24"/>
                <w:szCs w:val="24"/>
                <w:lang w:eastAsia="zh-CN" w:bidi="ar"/>
              </w:rPr>
              <w:t>等工作内容紧密结合；</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val="en-US" w:eastAsia="zh-CN" w:bidi="ar"/>
              </w:rPr>
              <w:t>4.</w:t>
            </w:r>
            <w:r>
              <w:rPr>
                <w:rFonts w:hint="eastAsia" w:asciiTheme="minorEastAsia" w:hAnsiTheme="minorEastAsia" w:eastAsiaTheme="minorEastAsia" w:cstheme="minorEastAsia"/>
                <w:color w:val="000000"/>
                <w:sz w:val="24"/>
                <w:szCs w:val="24"/>
                <w:lang w:eastAsia="zh-CN" w:bidi="ar"/>
              </w:rPr>
              <w:t>顶岗实习期间，至少每周和校内班主任教师或校内指导教师联系一次，及时汇报顶岗实习情况（发信息、打电话、发邮件均可）。凡不能按要求与教师联系者，教师有权建议扣减顶岗实习成绩；</w:t>
            </w:r>
          </w:p>
          <w:p>
            <w:pPr>
              <w:widowControl/>
              <w:textAlignment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bidi="ar"/>
              </w:rPr>
              <w:t>5.实习结束后，学生应及时将顶岗实习的全部成果及时交校内班主任教师或指导教师，并及时返校参加毕业考核。</w:t>
            </w:r>
          </w:p>
        </w:tc>
      </w:tr>
      <w:tr>
        <w:tblPrEx>
          <w:tblCellMar>
            <w:top w:w="0" w:type="dxa"/>
            <w:left w:w="108" w:type="dxa"/>
            <w:bottom w:w="0" w:type="dxa"/>
            <w:right w:w="108" w:type="dxa"/>
          </w:tblCellMar>
        </w:tblPrEx>
        <w:trPr>
          <w:trHeight w:val="2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考</w:t>
            </w:r>
          </w:p>
          <w:p>
            <w:pPr>
              <w:widowControl/>
              <w:jc w:val="center"/>
              <w:textAlignment w:val="center"/>
              <w:rPr>
                <w:b/>
                <w:bCs/>
                <w:color w:val="000000"/>
                <w:sz w:val="24"/>
                <w:szCs w:val="24"/>
              </w:rPr>
            </w:pPr>
            <w:r>
              <w:rPr>
                <w:rFonts w:hint="eastAsia"/>
                <w:b/>
                <w:bCs/>
                <w:color w:val="000000"/>
                <w:sz w:val="24"/>
                <w:szCs w:val="24"/>
                <w:lang w:eastAsia="zh-CN" w:bidi="ar"/>
              </w:rPr>
              <w:t>核</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1.企业鉴定考核</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通过企业领导、主管对学生在实习期间的表现做出客观、公正的评价，按照优或良的等级进行评定。</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2.教师考核</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教师到企业通过企业领导、主管对学生在实习期间的表现进行座谈、走访和了解，并不定期的到企业进行考核学生。</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3.实习报告</w:t>
            </w:r>
          </w:p>
          <w:p>
            <w:pPr>
              <w:widowControl/>
              <w:textAlignment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bidi="ar"/>
              </w:rPr>
              <w:t>学生对实习期间的感受、心得及表现情况作总结报告； 总分=企业鉴定考核 50%+教师考核 30%+实习报告 20%。</w:t>
            </w:r>
          </w:p>
        </w:tc>
      </w:tr>
    </w:tbl>
    <w:p>
      <w:pPr>
        <w:adjustRightInd w:val="0"/>
        <w:snapToGrid w:val="0"/>
        <w:spacing w:before="120" w:beforeLines="50" w:line="360" w:lineRule="auto"/>
        <w:ind w:firstLine="482" w:firstLineChars="200"/>
        <w:outlineLvl w:val="0"/>
        <w:rPr>
          <w:rStyle w:val="21"/>
          <w:rFonts w:ascii="黑体" w:hAnsi="黑体" w:eastAsia="黑体" w:cs="黑体"/>
          <w:lang w:eastAsia="zh-CN"/>
        </w:rPr>
      </w:pPr>
      <w:bookmarkStart w:id="30" w:name="_Toc10637"/>
      <w:r>
        <w:rPr>
          <w:rStyle w:val="21"/>
          <w:rFonts w:hint="eastAsia" w:ascii="黑体" w:hAnsi="黑体" w:eastAsia="黑体" w:cs="黑体"/>
          <w:lang w:eastAsia="zh-CN"/>
        </w:rPr>
        <w:t>八、实施保障</w:t>
      </w:r>
      <w:bookmarkEnd w:id="30"/>
    </w:p>
    <w:p>
      <w:pPr>
        <w:pStyle w:val="3"/>
        <w:tabs>
          <w:tab w:val="left" w:pos="1626"/>
        </w:tabs>
        <w:adjustRightInd w:val="0"/>
        <w:snapToGrid w:val="0"/>
        <w:spacing w:before="0"/>
        <w:ind w:left="0" w:firstLine="482" w:firstLineChars="200"/>
        <w:rPr>
          <w:lang w:eastAsia="zh-CN"/>
        </w:rPr>
      </w:pPr>
      <w:bookmarkStart w:id="31" w:name="_bookmark25"/>
      <w:bookmarkEnd w:id="31"/>
      <w:bookmarkStart w:id="32" w:name="1.师资队伍"/>
      <w:bookmarkEnd w:id="32"/>
      <w:bookmarkStart w:id="33" w:name="_Toc23109"/>
      <w:r>
        <w:rPr>
          <w:rFonts w:hint="eastAsia"/>
          <w:lang w:eastAsia="zh-CN"/>
        </w:rPr>
        <w:t>（一）</w:t>
      </w:r>
      <w:r>
        <w:rPr>
          <w:lang w:eastAsia="zh-CN"/>
        </w:rPr>
        <w:t>师资队伍</w:t>
      </w:r>
      <w:bookmarkEnd w:id="33"/>
    </w:p>
    <w:p>
      <w:pPr>
        <w:pStyle w:val="24"/>
        <w:tabs>
          <w:tab w:val="left" w:pos="1988"/>
        </w:tabs>
        <w:spacing w:before="120"/>
        <w:ind w:left="0" w:firstLine="482" w:firstLineChars="200"/>
        <w:rPr>
          <w:b/>
          <w:sz w:val="24"/>
          <w:lang w:eastAsia="zh-CN"/>
        </w:rPr>
      </w:pPr>
      <w:r>
        <w:rPr>
          <w:rFonts w:hint="eastAsia"/>
          <w:b/>
          <w:sz w:val="24"/>
          <w:lang w:eastAsia="zh-CN"/>
        </w:rPr>
        <w:t>1.</w:t>
      </w:r>
      <w:r>
        <w:rPr>
          <w:b/>
          <w:sz w:val="24"/>
          <w:lang w:eastAsia="zh-CN"/>
        </w:rPr>
        <w:t>队伍结构</w:t>
      </w:r>
    </w:p>
    <w:p>
      <w:pPr>
        <w:tabs>
          <w:tab w:val="left" w:pos="0"/>
        </w:tabs>
        <w:adjustRightInd w:val="0"/>
        <w:snapToGrid w:val="0"/>
        <w:spacing w:before="120" w:line="360" w:lineRule="auto"/>
        <w:ind w:firstLine="468" w:firstLineChars="200"/>
        <w:rPr>
          <w:sz w:val="24"/>
          <w:lang w:eastAsia="zh-CN"/>
        </w:rPr>
      </w:pPr>
      <w:r>
        <w:rPr>
          <w:rFonts w:hint="eastAsia"/>
          <w:spacing w:val="-3"/>
          <w:sz w:val="24"/>
          <w:lang w:val="en-US" w:eastAsia="zh-CN"/>
        </w:rPr>
        <w:t>现代物流管理</w:t>
      </w:r>
      <w:r>
        <w:rPr>
          <w:spacing w:val="-3"/>
          <w:sz w:val="24"/>
          <w:lang w:eastAsia="zh-CN"/>
        </w:rPr>
        <w:t xml:space="preserve">专业教学队伍共有专兼职教师 </w:t>
      </w:r>
      <w:r>
        <w:rPr>
          <w:sz w:val="24"/>
          <w:lang w:eastAsia="zh-CN"/>
        </w:rPr>
        <w:t>20</w:t>
      </w:r>
      <w:r>
        <w:rPr>
          <w:spacing w:val="-13"/>
          <w:sz w:val="24"/>
          <w:lang w:eastAsia="zh-CN"/>
        </w:rPr>
        <w:t xml:space="preserve"> 人，其中，兼职教师 </w:t>
      </w:r>
      <w:r>
        <w:rPr>
          <w:rFonts w:hint="eastAsia"/>
          <w:sz w:val="24"/>
          <w:lang w:val="en-US" w:eastAsia="zh-CN"/>
        </w:rPr>
        <w:t>4</w:t>
      </w:r>
      <w:r>
        <w:rPr>
          <w:sz w:val="24"/>
          <w:lang w:eastAsia="zh-CN"/>
        </w:rPr>
        <w:t xml:space="preserve"> </w:t>
      </w:r>
      <w:r>
        <w:rPr>
          <w:spacing w:val="-10"/>
          <w:sz w:val="24"/>
          <w:lang w:eastAsia="zh-CN"/>
        </w:rPr>
        <w:t>人，均为</w:t>
      </w:r>
      <w:r>
        <w:rPr>
          <w:rFonts w:hint="eastAsia"/>
          <w:spacing w:val="-10"/>
          <w:sz w:val="24"/>
          <w:lang w:val="en-US" w:eastAsia="zh-CN"/>
        </w:rPr>
        <w:t>物流</w:t>
      </w:r>
      <w:r>
        <w:rPr>
          <w:spacing w:val="-10"/>
          <w:sz w:val="24"/>
          <w:lang w:eastAsia="zh-CN"/>
        </w:rPr>
        <w:t>行业的业务骨干，有很强的实践教学与指导能力；校内</w:t>
      </w:r>
      <w:r>
        <w:rPr>
          <w:spacing w:val="-12"/>
          <w:sz w:val="24"/>
          <w:lang w:eastAsia="zh-CN"/>
        </w:rPr>
        <w:t xml:space="preserve">专任教师 </w:t>
      </w:r>
      <w:r>
        <w:rPr>
          <w:sz w:val="24"/>
          <w:lang w:eastAsia="zh-CN"/>
        </w:rPr>
        <w:t>10</w:t>
      </w:r>
      <w:r>
        <w:rPr>
          <w:spacing w:val="-10"/>
          <w:sz w:val="24"/>
          <w:lang w:eastAsia="zh-CN"/>
        </w:rPr>
        <w:t xml:space="preserve"> 人。副高级</w:t>
      </w:r>
      <w:r>
        <w:rPr>
          <w:sz w:val="24"/>
          <w:lang w:eastAsia="zh-CN"/>
        </w:rPr>
        <w:t>（含高工）</w:t>
      </w:r>
      <w:r>
        <w:rPr>
          <w:spacing w:val="-12"/>
          <w:sz w:val="24"/>
          <w:lang w:eastAsia="zh-CN"/>
        </w:rPr>
        <w:t xml:space="preserve">以上职称 </w:t>
      </w:r>
      <w:r>
        <w:rPr>
          <w:sz w:val="24"/>
          <w:lang w:eastAsia="zh-CN"/>
        </w:rPr>
        <w:t>6</w:t>
      </w:r>
      <w:r>
        <w:rPr>
          <w:spacing w:val="-8"/>
          <w:sz w:val="24"/>
          <w:lang w:eastAsia="zh-CN"/>
        </w:rPr>
        <w:t xml:space="preserve"> 人，全部是硕士以上学历。“双</w:t>
      </w:r>
      <w:r>
        <w:rPr>
          <w:spacing w:val="-14"/>
          <w:sz w:val="24"/>
          <w:lang w:eastAsia="zh-CN"/>
        </w:rPr>
        <w:t xml:space="preserve">师素质”教师比例占 </w:t>
      </w:r>
      <w:r>
        <w:rPr>
          <w:sz w:val="24"/>
          <w:lang w:eastAsia="zh-CN"/>
        </w:rPr>
        <w:t>100%。团队的职称、年龄、学历结构合理，具有丰富的教学经历和企业实践经历，是一支敬业、务实、高效的教学团队。</w:t>
      </w:r>
    </w:p>
    <w:p>
      <w:pPr>
        <w:pStyle w:val="24"/>
        <w:tabs>
          <w:tab w:val="left" w:pos="1988"/>
        </w:tabs>
        <w:spacing w:before="161"/>
        <w:ind w:left="0" w:firstLine="482" w:firstLineChars="200"/>
        <w:rPr>
          <w:b/>
          <w:sz w:val="24"/>
          <w:lang w:eastAsia="zh-CN"/>
        </w:rPr>
      </w:pPr>
      <w:r>
        <w:rPr>
          <w:rFonts w:hint="eastAsia"/>
          <w:b/>
          <w:sz w:val="24"/>
          <w:lang w:eastAsia="zh-CN"/>
        </w:rPr>
        <w:t>2.专任教师</w:t>
      </w:r>
    </w:p>
    <w:tbl>
      <w:tblPr>
        <w:tblStyle w:val="20"/>
        <w:tblW w:w="8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064"/>
        <w:gridCol w:w="736"/>
        <w:gridCol w:w="1107"/>
        <w:gridCol w:w="1133"/>
        <w:gridCol w:w="1900"/>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6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lang w:eastAsia="zh-CN"/>
              </w:rPr>
            </w:pPr>
            <w:r>
              <w:rPr>
                <w:rFonts w:hint="eastAsia"/>
                <w:b/>
                <w:sz w:val="24"/>
                <w:szCs w:val="24"/>
                <w:lang w:eastAsia="zh-CN"/>
              </w:rPr>
              <w:t>序号</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sz w:val="24"/>
                <w:szCs w:val="24"/>
              </w:rPr>
              <w:t>姓名</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sz w:val="24"/>
                <w:szCs w:val="24"/>
              </w:rPr>
              <w:t>性别</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sz w:val="24"/>
                <w:szCs w:val="24"/>
              </w:rPr>
              <w:t>出生</w:t>
            </w:r>
          </w:p>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sz w:val="24"/>
                <w:szCs w:val="24"/>
              </w:rPr>
              <w:t>年月</w:t>
            </w:r>
          </w:p>
        </w:tc>
        <w:tc>
          <w:tcPr>
            <w:tcW w:w="1133"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w w:val="95"/>
                <w:sz w:val="24"/>
                <w:szCs w:val="24"/>
              </w:rPr>
              <w:t>专业技</w:t>
            </w:r>
          </w:p>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w w:val="95"/>
                <w:sz w:val="24"/>
                <w:szCs w:val="24"/>
              </w:rPr>
              <w:t>术职务</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w w:val="95"/>
                <w:sz w:val="24"/>
                <w:szCs w:val="24"/>
              </w:rPr>
              <w:t>执业资</w:t>
            </w:r>
          </w:p>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w w:val="95"/>
                <w:sz w:val="24"/>
                <w:szCs w:val="24"/>
              </w:rPr>
              <w:t>格证书</w:t>
            </w: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sz w:val="24"/>
                <w:szCs w:val="24"/>
              </w:rPr>
              <w:t>专业</w:t>
            </w:r>
          </w:p>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24"/>
                <w:szCs w:val="24"/>
              </w:rPr>
            </w:pPr>
            <w:r>
              <w:rPr>
                <w:b/>
                <w:sz w:val="24"/>
                <w:szCs w:val="24"/>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19"/>
              <w:spacing w:before="1"/>
              <w:jc w:val="center"/>
              <w:rPr>
                <w:sz w:val="24"/>
                <w:szCs w:val="24"/>
              </w:rPr>
            </w:pPr>
            <w:r>
              <w:rPr>
                <w:sz w:val="24"/>
                <w:szCs w:val="24"/>
              </w:rPr>
              <w:t>1</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eastAsia="宋体"/>
                <w:sz w:val="24"/>
                <w:szCs w:val="24"/>
                <w:lang w:val="en-US" w:eastAsia="zh-CN"/>
              </w:rPr>
            </w:pPr>
            <w:r>
              <w:rPr>
                <w:rFonts w:hint="eastAsia"/>
                <w:sz w:val="24"/>
                <w:szCs w:val="24"/>
                <w:lang w:val="en-US" w:eastAsia="zh-CN"/>
              </w:rPr>
              <w:t>楚晓娟</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eastAsia="宋体"/>
                <w:sz w:val="24"/>
                <w:szCs w:val="24"/>
                <w:lang w:eastAsia="zh-CN"/>
              </w:rPr>
            </w:pPr>
            <w:r>
              <w:rPr>
                <w:rFonts w:hint="eastAsia"/>
                <w:sz w:val="24"/>
                <w:szCs w:val="24"/>
                <w:lang w:eastAsia="zh-CN"/>
              </w:rPr>
              <w:t>女</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eastAsia="宋体"/>
                <w:sz w:val="24"/>
                <w:szCs w:val="24"/>
                <w:lang w:val="en-US" w:eastAsia="zh-CN"/>
              </w:rPr>
            </w:pPr>
            <w:r>
              <w:rPr>
                <w:rFonts w:hint="eastAsia"/>
                <w:sz w:val="24"/>
                <w:szCs w:val="24"/>
                <w:lang w:val="en-US" w:eastAsia="zh-CN"/>
              </w:rPr>
              <w:t>1976.9</w:t>
            </w:r>
          </w:p>
        </w:tc>
        <w:tc>
          <w:tcPr>
            <w:tcW w:w="1133"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eastAsia="宋体"/>
                <w:sz w:val="24"/>
                <w:szCs w:val="24"/>
                <w:lang w:val="en-US" w:eastAsia="zh-CN"/>
              </w:rPr>
            </w:pPr>
            <w:r>
              <w:rPr>
                <w:rFonts w:hint="eastAsia"/>
                <w:sz w:val="24"/>
                <w:szCs w:val="24"/>
                <w:lang w:val="en-US" w:eastAsia="zh-CN"/>
              </w:rPr>
              <w:t>副教授</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eastAsia="宋体"/>
                <w:sz w:val="24"/>
                <w:szCs w:val="24"/>
                <w:lang w:eastAsia="zh-CN"/>
              </w:rPr>
            </w:pPr>
            <w:r>
              <w:rPr>
                <w:rFonts w:hint="eastAsia"/>
                <w:sz w:val="24"/>
                <w:szCs w:val="24"/>
                <w:lang w:eastAsia="zh-CN"/>
              </w:rPr>
              <w:t>高级物流师</w:t>
            </w: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eastAsia="宋体"/>
                <w:sz w:val="24"/>
                <w:szCs w:val="24"/>
                <w:lang w:val="en-US" w:eastAsia="zh-CN"/>
              </w:rPr>
            </w:pPr>
            <w:r>
              <w:rPr>
                <w:rFonts w:hint="eastAsia"/>
                <w:sz w:val="24"/>
                <w:szCs w:val="24"/>
                <w:lang w:val="en-US" w:eastAsia="zh-CN"/>
              </w:rPr>
              <w:t>现代物流管理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19"/>
              <w:jc w:val="center"/>
              <w:rPr>
                <w:sz w:val="24"/>
                <w:szCs w:val="24"/>
              </w:rPr>
            </w:pPr>
            <w:r>
              <w:rPr>
                <w:sz w:val="24"/>
                <w:szCs w:val="24"/>
              </w:rPr>
              <w:t>2</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sz w:val="24"/>
                <w:szCs w:val="24"/>
                <w:lang w:val="en-US" w:eastAsia="zh-CN"/>
              </w:rPr>
            </w:pPr>
            <w:r>
              <w:rPr>
                <w:rFonts w:hint="eastAsia"/>
                <w:sz w:val="24"/>
                <w:szCs w:val="24"/>
                <w:lang w:val="en-US" w:eastAsia="zh-CN"/>
              </w:rPr>
              <w:t>张唐勇</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eastAsia="宋体"/>
                <w:sz w:val="24"/>
                <w:szCs w:val="24"/>
                <w:lang w:eastAsia="zh-CN"/>
              </w:rPr>
            </w:pPr>
            <w:r>
              <w:rPr>
                <w:sz w:val="24"/>
                <w:szCs w:val="24"/>
              </w:rPr>
              <w:t>男</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sz w:val="24"/>
                <w:szCs w:val="24"/>
                <w:lang w:val="en-US" w:eastAsia="zh-CN"/>
              </w:rPr>
            </w:pPr>
            <w:r>
              <w:rPr>
                <w:rFonts w:hint="eastAsia"/>
                <w:sz w:val="24"/>
                <w:szCs w:val="24"/>
                <w:lang w:val="en-US" w:eastAsia="zh-CN"/>
              </w:rPr>
              <w:t>1989.11</w:t>
            </w:r>
          </w:p>
        </w:tc>
        <w:tc>
          <w:tcPr>
            <w:tcW w:w="1133"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sz w:val="24"/>
                <w:szCs w:val="24"/>
              </w:rPr>
            </w:pPr>
            <w:r>
              <w:rPr>
                <w:rFonts w:hint="eastAsia"/>
                <w:sz w:val="24"/>
                <w:szCs w:val="24"/>
                <w:lang w:val="en-US" w:eastAsia="zh-CN"/>
              </w:rPr>
              <w:t>助教</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sz w:val="24"/>
                <w:szCs w:val="24"/>
              </w:rPr>
            </w:pP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sz w:val="24"/>
                <w:szCs w:val="24"/>
                <w:lang w:val="en-US" w:eastAsia="zh-CN"/>
              </w:rPr>
            </w:pPr>
            <w:r>
              <w:rPr>
                <w:rFonts w:hint="eastAsia"/>
                <w:sz w:val="24"/>
                <w:szCs w:val="24"/>
                <w:lang w:val="en-US" w:eastAsia="zh-CN"/>
              </w:rPr>
              <w:t>现代物流管理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19"/>
              <w:jc w:val="center"/>
              <w:rPr>
                <w:sz w:val="24"/>
                <w:szCs w:val="24"/>
              </w:rPr>
            </w:pPr>
            <w:r>
              <w:rPr>
                <w:sz w:val="24"/>
                <w:szCs w:val="24"/>
              </w:rPr>
              <w:t>3</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eastAsia="宋体"/>
                <w:sz w:val="24"/>
                <w:szCs w:val="24"/>
                <w:lang w:val="en-US" w:eastAsia="zh-CN"/>
              </w:rPr>
            </w:pPr>
            <w:r>
              <w:rPr>
                <w:rFonts w:hint="eastAsia"/>
                <w:sz w:val="24"/>
                <w:szCs w:val="24"/>
                <w:lang w:val="en-US" w:eastAsia="zh-CN"/>
              </w:rPr>
              <w:t>樊颜青</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sz w:val="24"/>
                <w:szCs w:val="24"/>
              </w:rPr>
            </w:pPr>
            <w:r>
              <w:rPr>
                <w:rFonts w:hint="eastAsia"/>
                <w:sz w:val="24"/>
                <w:szCs w:val="24"/>
                <w:lang w:val="en-US" w:eastAsia="zh-CN"/>
              </w:rPr>
              <w:t>女</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sz w:val="24"/>
                <w:szCs w:val="24"/>
                <w:lang w:val="en-US" w:eastAsia="zh-CN"/>
              </w:rPr>
            </w:pPr>
            <w:r>
              <w:rPr>
                <w:rFonts w:hint="eastAsia"/>
                <w:sz w:val="24"/>
                <w:szCs w:val="24"/>
                <w:lang w:val="en-US" w:eastAsia="zh-CN"/>
              </w:rPr>
              <w:t>1992.4</w:t>
            </w:r>
          </w:p>
        </w:tc>
        <w:tc>
          <w:tcPr>
            <w:tcW w:w="1133"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sz w:val="24"/>
                <w:szCs w:val="24"/>
              </w:rPr>
            </w:pPr>
            <w:r>
              <w:rPr>
                <w:rFonts w:hint="eastAsia"/>
                <w:sz w:val="24"/>
                <w:szCs w:val="24"/>
                <w:lang w:val="en-US" w:eastAsia="zh-CN"/>
              </w:rPr>
              <w:t>助教</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sz w:val="24"/>
                <w:szCs w:val="24"/>
              </w:rPr>
            </w:pP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sz w:val="24"/>
                <w:szCs w:val="24"/>
              </w:rPr>
            </w:pPr>
            <w:r>
              <w:rPr>
                <w:rFonts w:hint="eastAsia"/>
                <w:sz w:val="24"/>
                <w:szCs w:val="24"/>
                <w:lang w:val="en-US" w:eastAsia="zh-CN"/>
              </w:rPr>
              <w:t>现代物流管理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19"/>
              <w:jc w:val="center"/>
            </w:pPr>
            <w:r>
              <w:t>4</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eastAsia="宋体"/>
                <w:lang w:val="en-US" w:eastAsia="zh-CN"/>
              </w:rPr>
            </w:pPr>
            <w:r>
              <w:rPr>
                <w:rFonts w:hint="eastAsia"/>
                <w:sz w:val="24"/>
                <w:szCs w:val="24"/>
                <w:lang w:val="en-US" w:eastAsia="zh-CN"/>
              </w:rPr>
              <w:t>闫娜</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eastAsia="宋体"/>
                <w:lang w:eastAsia="zh-CN"/>
              </w:rPr>
            </w:pPr>
            <w:r>
              <w:rPr>
                <w:sz w:val="24"/>
                <w:szCs w:val="24"/>
              </w:rPr>
              <w:t>女</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lang w:val="en-US" w:eastAsia="zh-CN"/>
              </w:rPr>
            </w:pPr>
            <w:r>
              <w:rPr>
                <w:rFonts w:hint="eastAsia"/>
                <w:lang w:val="en-US" w:eastAsia="zh-CN"/>
              </w:rPr>
              <w:t>1990.12</w:t>
            </w:r>
          </w:p>
        </w:tc>
        <w:tc>
          <w:tcPr>
            <w:tcW w:w="1133"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sz w:val="24"/>
                <w:szCs w:val="24"/>
                <w:lang w:val="en-US" w:eastAsia="zh-CN"/>
              </w:rPr>
              <w:t>助教</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sz w:val="24"/>
                <w:szCs w:val="24"/>
                <w:lang w:val="en-US" w:eastAsia="zh-CN"/>
              </w:rPr>
              <w:t>现代物流管理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19"/>
              <w:spacing w:before="171"/>
              <w:jc w:val="center"/>
            </w:pPr>
            <w:r>
              <w:t>5</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eastAsia="宋体"/>
                <w:lang w:val="en-US" w:eastAsia="zh-CN"/>
              </w:rPr>
            </w:pPr>
            <w:r>
              <w:rPr>
                <w:rFonts w:hint="eastAsia"/>
                <w:lang w:val="en-US" w:eastAsia="zh-CN"/>
              </w:rPr>
              <w:t>王迪</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lang w:val="en-US" w:eastAsia="zh-CN"/>
              </w:rPr>
              <w:t>女</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lang w:val="en-US" w:eastAsia="zh-CN"/>
              </w:rPr>
            </w:pPr>
            <w:r>
              <w:rPr>
                <w:rFonts w:hint="eastAsia"/>
                <w:lang w:val="en-US" w:eastAsia="zh-CN"/>
              </w:rPr>
              <w:t>1993.7</w:t>
            </w:r>
          </w:p>
        </w:tc>
        <w:tc>
          <w:tcPr>
            <w:tcW w:w="1133" w:type="dxa"/>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sz w:val="24"/>
                <w:szCs w:val="24"/>
                <w:lang w:val="en-US" w:eastAsia="zh-CN"/>
              </w:rPr>
              <w:t>助教</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sz w:val="24"/>
                <w:szCs w:val="24"/>
                <w:lang w:val="en-US" w:eastAsia="zh-CN"/>
              </w:rPr>
              <w:t>现代物流管理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19"/>
              <w:spacing w:before="171"/>
              <w:jc w:val="center"/>
            </w:pPr>
            <w:r>
              <w:t>6</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lang w:val="en-US" w:eastAsia="zh-CN"/>
              </w:rPr>
            </w:pPr>
            <w:r>
              <w:rPr>
                <w:rFonts w:hint="eastAsia"/>
                <w:lang w:val="en-US" w:eastAsia="zh-CN"/>
              </w:rPr>
              <w:t>吴志航</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t>男</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lang w:val="en-US" w:eastAsia="zh-CN"/>
              </w:rPr>
            </w:pPr>
            <w:r>
              <w:rPr>
                <w:rFonts w:hint="eastAsia"/>
                <w:lang w:val="en-US" w:eastAsia="zh-CN"/>
              </w:rPr>
              <w:t>1987.9</w:t>
            </w:r>
          </w:p>
        </w:tc>
        <w:tc>
          <w:tcPr>
            <w:tcW w:w="1133" w:type="dxa"/>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sz w:val="24"/>
                <w:szCs w:val="24"/>
                <w:lang w:val="en-US" w:eastAsia="zh-CN"/>
              </w:rPr>
              <w:t>助教</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lang w:val="en-US" w:eastAsia="zh-CN"/>
              </w:rPr>
            </w:pP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sz w:val="24"/>
                <w:szCs w:val="24"/>
                <w:lang w:val="en-US" w:eastAsia="zh-CN"/>
              </w:rPr>
              <w:t>现代物流管理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19"/>
              <w:spacing w:before="171"/>
              <w:jc w:val="center"/>
            </w:pPr>
            <w:r>
              <w:t>7</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eastAsia="宋体"/>
                <w:lang w:val="en-US" w:eastAsia="zh-CN"/>
              </w:rPr>
            </w:pPr>
            <w:r>
              <w:rPr>
                <w:rFonts w:hint="eastAsia"/>
                <w:lang w:val="en-US" w:eastAsia="zh-CN"/>
              </w:rPr>
              <w:t>邵伟</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eastAsia="宋体"/>
                <w:lang w:eastAsia="zh-CN"/>
              </w:rPr>
            </w:pPr>
            <w:r>
              <w:t>女</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lang w:val="en-US" w:eastAsia="zh-CN"/>
              </w:rPr>
            </w:pPr>
            <w:r>
              <w:rPr>
                <w:rFonts w:hint="eastAsia"/>
                <w:lang w:val="en-US" w:eastAsia="zh-CN"/>
              </w:rPr>
              <w:t>1990.12</w:t>
            </w:r>
          </w:p>
        </w:tc>
        <w:tc>
          <w:tcPr>
            <w:tcW w:w="1133" w:type="dxa"/>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sz w:val="24"/>
                <w:szCs w:val="24"/>
                <w:lang w:val="en-US" w:eastAsia="zh-CN"/>
              </w:rPr>
              <w:t>助教</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lang w:val="en-US" w:eastAsia="zh-CN"/>
              </w:rPr>
              <w:t>中级物流师</w:t>
            </w: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pPr>
            <w:r>
              <w:rPr>
                <w:rFonts w:hint="eastAsia"/>
                <w:sz w:val="24"/>
                <w:szCs w:val="24"/>
                <w:lang w:val="en-US" w:eastAsia="zh-CN"/>
              </w:rPr>
              <w:t>现代物流管理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19"/>
              <w:spacing w:before="171"/>
              <w:ind w:left="9"/>
              <w:jc w:val="center"/>
              <w:rPr>
                <w:rFonts w:hint="eastAsia" w:eastAsia="宋体"/>
                <w:lang w:val="en-US" w:eastAsia="zh-CN"/>
              </w:rPr>
            </w:pPr>
            <w:r>
              <w:rPr>
                <w:rFonts w:hint="eastAsia"/>
                <w:lang w:val="en-US" w:eastAsia="zh-CN"/>
              </w:rPr>
              <w:t>8</w:t>
            </w:r>
          </w:p>
        </w:tc>
        <w:tc>
          <w:tcPr>
            <w:tcW w:w="1064"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lang w:val="en-US" w:eastAsia="zh-CN"/>
              </w:rPr>
            </w:pPr>
            <w:r>
              <w:rPr>
                <w:rFonts w:hint="eastAsia"/>
                <w:lang w:val="en-US" w:eastAsia="zh-CN"/>
              </w:rPr>
              <w:t>肖青坤</w:t>
            </w:r>
          </w:p>
        </w:tc>
        <w:tc>
          <w:tcPr>
            <w:tcW w:w="736"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lang w:val="en-US" w:eastAsia="zh-CN"/>
              </w:rPr>
            </w:pPr>
            <w:r>
              <w:rPr>
                <w:rFonts w:hint="eastAsia"/>
                <w:lang w:val="en-US" w:eastAsia="zh-CN"/>
              </w:rPr>
              <w:t>男</w:t>
            </w:r>
          </w:p>
        </w:tc>
        <w:tc>
          <w:tcPr>
            <w:tcW w:w="1107"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eastAsia="宋体"/>
                <w:lang w:val="en-US" w:eastAsia="zh-CN"/>
              </w:rPr>
            </w:pPr>
            <w:r>
              <w:rPr>
                <w:rFonts w:hint="eastAsia"/>
                <w:lang w:val="en-US" w:eastAsia="zh-CN"/>
              </w:rPr>
              <w:t>1992.6</w:t>
            </w:r>
          </w:p>
        </w:tc>
        <w:tc>
          <w:tcPr>
            <w:tcW w:w="1133" w:type="dxa"/>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sz w:val="24"/>
                <w:szCs w:val="24"/>
                <w:lang w:val="en-US" w:eastAsia="zh-CN"/>
              </w:rPr>
            </w:pPr>
            <w:r>
              <w:rPr>
                <w:rFonts w:hint="eastAsia"/>
                <w:sz w:val="24"/>
                <w:szCs w:val="24"/>
                <w:lang w:val="en-US" w:eastAsia="zh-CN"/>
              </w:rPr>
              <w:t>助教</w:t>
            </w:r>
          </w:p>
        </w:tc>
        <w:tc>
          <w:tcPr>
            <w:tcW w:w="1900"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both"/>
              <w:textAlignment w:val="auto"/>
            </w:pPr>
          </w:p>
        </w:tc>
        <w:tc>
          <w:tcPr>
            <w:tcW w:w="1759" w:type="dxa"/>
            <w:vAlign w:val="center"/>
          </w:tcPr>
          <w:p>
            <w:pPr>
              <w:pStyle w:val="1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sz w:val="24"/>
                <w:szCs w:val="24"/>
                <w:lang w:val="en-US" w:eastAsia="zh-CN"/>
              </w:rPr>
            </w:pPr>
            <w:r>
              <w:rPr>
                <w:rFonts w:hint="eastAsia"/>
                <w:sz w:val="24"/>
                <w:szCs w:val="24"/>
                <w:lang w:val="en-US" w:eastAsia="zh-CN"/>
              </w:rPr>
              <w:t>现代物流管理</w:t>
            </w:r>
          </w:p>
        </w:tc>
      </w:tr>
    </w:tbl>
    <w:p>
      <w:pPr>
        <w:pStyle w:val="24"/>
        <w:tabs>
          <w:tab w:val="left" w:pos="1988"/>
        </w:tabs>
        <w:spacing w:before="161"/>
        <w:ind w:left="0" w:firstLine="482" w:firstLineChars="200"/>
        <w:rPr>
          <w:b/>
          <w:sz w:val="24"/>
          <w:lang w:eastAsia="zh-CN"/>
        </w:rPr>
      </w:pPr>
      <w:r>
        <w:rPr>
          <w:rFonts w:hint="eastAsia"/>
          <w:b/>
          <w:sz w:val="24"/>
          <w:lang w:eastAsia="zh-CN"/>
        </w:rPr>
        <w:t>3.专业负责人</w:t>
      </w:r>
    </w:p>
    <w:p>
      <w:pPr>
        <w:pStyle w:val="24"/>
        <w:tabs>
          <w:tab w:val="left" w:pos="1988"/>
        </w:tabs>
        <w:adjustRightInd w:val="0"/>
        <w:snapToGrid w:val="0"/>
        <w:spacing w:before="161" w:line="360" w:lineRule="auto"/>
        <w:ind w:left="0" w:firstLine="444" w:firstLineChars="200"/>
        <w:rPr>
          <w:rFonts w:ascii="宋体" w:hAnsi="宋体" w:eastAsia="宋体" w:cs="宋体"/>
          <w:spacing w:val="-9"/>
          <w:sz w:val="24"/>
          <w:szCs w:val="22"/>
          <w:lang w:val="en-US" w:eastAsia="zh-CN" w:bidi="ar-SA"/>
        </w:rPr>
      </w:pPr>
      <w:r>
        <w:rPr>
          <w:rFonts w:hint="eastAsia" w:ascii="宋体" w:hAnsi="宋体" w:eastAsia="宋体" w:cs="宋体"/>
          <w:spacing w:val="-9"/>
          <w:sz w:val="24"/>
          <w:szCs w:val="22"/>
          <w:lang w:val="en-US" w:eastAsia="zh-CN" w:bidi="ar-SA"/>
        </w:rPr>
        <w:t>邵伟</w:t>
      </w:r>
      <w:r>
        <w:rPr>
          <w:rFonts w:ascii="宋体" w:hAnsi="宋体" w:eastAsia="宋体" w:cs="宋体"/>
          <w:spacing w:val="-9"/>
          <w:sz w:val="24"/>
          <w:szCs w:val="22"/>
          <w:lang w:val="en-US" w:eastAsia="zh-CN" w:bidi="ar-SA"/>
        </w:rPr>
        <w:t>，</w:t>
      </w:r>
      <w:r>
        <w:rPr>
          <w:rFonts w:hint="eastAsia" w:ascii="宋体" w:hAnsi="宋体" w:eastAsia="宋体" w:cs="宋体"/>
          <w:spacing w:val="-9"/>
          <w:sz w:val="24"/>
          <w:szCs w:val="22"/>
          <w:lang w:val="en-US" w:eastAsia="zh-CN" w:bidi="ar-SA"/>
        </w:rPr>
        <w:t>女</w:t>
      </w:r>
      <w:r>
        <w:rPr>
          <w:rFonts w:ascii="宋体" w:hAnsi="宋体" w:eastAsia="宋体" w:cs="宋体"/>
          <w:spacing w:val="-9"/>
          <w:sz w:val="24"/>
          <w:szCs w:val="22"/>
          <w:lang w:val="en-US" w:eastAsia="zh-CN" w:bidi="ar-SA"/>
        </w:rPr>
        <w:t>，</w:t>
      </w:r>
      <w:r>
        <w:rPr>
          <w:rFonts w:hint="eastAsia" w:ascii="宋体" w:hAnsi="宋体" w:eastAsia="宋体" w:cs="宋体"/>
          <w:spacing w:val="-9"/>
          <w:sz w:val="24"/>
          <w:szCs w:val="22"/>
          <w:lang w:val="en-US" w:eastAsia="zh-CN" w:bidi="ar-SA"/>
        </w:rPr>
        <w:t>助理讲师</w:t>
      </w:r>
      <w:r>
        <w:rPr>
          <w:rFonts w:ascii="宋体" w:hAnsi="宋体" w:eastAsia="宋体" w:cs="宋体"/>
          <w:spacing w:val="-9"/>
          <w:sz w:val="24"/>
          <w:szCs w:val="22"/>
          <w:lang w:val="en-US" w:eastAsia="zh-CN" w:bidi="ar-SA"/>
        </w:rPr>
        <w:t>，</w:t>
      </w:r>
      <w:r>
        <w:rPr>
          <w:rFonts w:hint="eastAsia" w:ascii="宋体" w:hAnsi="宋体" w:eastAsia="宋体" w:cs="宋体"/>
          <w:spacing w:val="-9"/>
          <w:sz w:val="24"/>
          <w:szCs w:val="22"/>
          <w:lang w:val="en-US" w:eastAsia="zh-CN" w:bidi="ar-SA"/>
        </w:rPr>
        <w:t>物流管理</w:t>
      </w:r>
      <w:r>
        <w:rPr>
          <w:rFonts w:ascii="宋体" w:hAnsi="宋体" w:eastAsia="宋体" w:cs="宋体"/>
          <w:spacing w:val="-9"/>
          <w:sz w:val="24"/>
          <w:szCs w:val="22"/>
          <w:lang w:val="en-US" w:eastAsia="zh-CN" w:bidi="ar-SA"/>
        </w:rPr>
        <w:t>专业。</w:t>
      </w:r>
    </w:p>
    <w:p>
      <w:pPr>
        <w:pStyle w:val="3"/>
        <w:keepNext w:val="0"/>
        <w:keepLines w:val="0"/>
        <w:pageBreakBefore w:val="0"/>
        <w:widowControl w:val="0"/>
        <w:tabs>
          <w:tab w:val="left" w:pos="1626"/>
        </w:tabs>
        <w:kinsoku/>
        <w:wordWrap/>
        <w:overflowPunct/>
        <w:topLinePunct w:val="0"/>
        <w:autoSpaceDE w:val="0"/>
        <w:autoSpaceDN w:val="0"/>
        <w:bidi w:val="0"/>
        <w:adjustRightInd w:val="0"/>
        <w:snapToGrid w:val="0"/>
        <w:spacing w:before="0" w:line="360" w:lineRule="auto"/>
        <w:ind w:left="0" w:right="0" w:firstLine="482" w:firstLineChars="200"/>
        <w:textAlignment w:val="auto"/>
      </w:pPr>
      <w:bookmarkStart w:id="34" w:name="_bookmark26"/>
      <w:bookmarkEnd w:id="34"/>
      <w:bookmarkStart w:id="35" w:name="2.教学设施"/>
      <w:bookmarkEnd w:id="35"/>
      <w:bookmarkStart w:id="36" w:name="_Toc23840"/>
      <w:r>
        <w:rPr>
          <w:rFonts w:hint="eastAsia"/>
          <w:lang w:eastAsia="zh-CN"/>
        </w:rPr>
        <w:t>（二）</w:t>
      </w:r>
      <w:r>
        <w:t>教学设施</w:t>
      </w:r>
      <w:bookmarkEnd w:id="36"/>
    </w:p>
    <w:p>
      <w:pPr>
        <w:pStyle w:val="24"/>
        <w:keepNext w:val="0"/>
        <w:keepLines w:val="0"/>
        <w:pageBreakBefore w:val="0"/>
        <w:widowControl w:val="0"/>
        <w:tabs>
          <w:tab w:val="left" w:pos="1988"/>
        </w:tabs>
        <w:kinsoku/>
        <w:wordWrap/>
        <w:overflowPunct/>
        <w:topLinePunct w:val="0"/>
        <w:autoSpaceDE w:val="0"/>
        <w:autoSpaceDN w:val="0"/>
        <w:bidi w:val="0"/>
        <w:adjustRightInd w:val="0"/>
        <w:snapToGrid w:val="0"/>
        <w:spacing w:before="0" w:line="360" w:lineRule="auto"/>
        <w:ind w:left="0" w:right="0" w:firstLine="482" w:firstLineChars="200"/>
        <w:textAlignment w:val="auto"/>
        <w:rPr>
          <w:b/>
          <w:sz w:val="24"/>
        </w:rPr>
      </w:pPr>
      <w:r>
        <w:rPr>
          <w:rFonts w:hint="eastAsia"/>
          <w:b/>
          <w:sz w:val="24"/>
          <w:lang w:eastAsia="zh-CN"/>
        </w:rPr>
        <w:t>1.</w:t>
      </w:r>
      <w:r>
        <w:rPr>
          <w:b/>
          <w:sz w:val="24"/>
        </w:rPr>
        <w:t>基本教学设施</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44" w:firstLineChars="200"/>
        <w:jc w:val="both"/>
        <w:textAlignment w:val="auto"/>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r>
        <w:rPr>
          <w:spacing w:val="-4"/>
          <w:sz w:val="24"/>
          <w:lang w:eastAsia="zh-CN"/>
        </w:rPr>
        <w:t xml:space="preserve">WiFi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pPr>
        <w:pStyle w:val="24"/>
        <w:keepNext w:val="0"/>
        <w:keepLines w:val="0"/>
        <w:pageBreakBefore w:val="0"/>
        <w:widowControl w:val="0"/>
        <w:tabs>
          <w:tab w:val="left" w:pos="1988"/>
        </w:tabs>
        <w:kinsoku/>
        <w:wordWrap/>
        <w:overflowPunct/>
        <w:topLinePunct w:val="0"/>
        <w:autoSpaceDE w:val="0"/>
        <w:autoSpaceDN w:val="0"/>
        <w:bidi w:val="0"/>
        <w:adjustRightInd w:val="0"/>
        <w:snapToGrid w:val="0"/>
        <w:spacing w:before="0" w:line="360" w:lineRule="auto"/>
        <w:ind w:left="0" w:right="0" w:firstLine="482" w:firstLineChars="200"/>
        <w:textAlignment w:val="auto"/>
        <w:rPr>
          <w:b/>
          <w:sz w:val="24"/>
          <w:lang w:eastAsia="zh-CN"/>
        </w:rPr>
      </w:pPr>
      <w:r>
        <w:rPr>
          <w:rFonts w:hint="eastAsia"/>
          <w:b/>
          <w:sz w:val="24"/>
          <w:lang w:eastAsia="zh-CN"/>
        </w:rPr>
        <w:t>2.</w:t>
      </w:r>
      <w:r>
        <w:rPr>
          <w:b/>
          <w:sz w:val="24"/>
          <w:lang w:eastAsia="zh-CN"/>
        </w:rPr>
        <w:t>实训（实验）教学设施</w:t>
      </w:r>
    </w:p>
    <w:p>
      <w:pPr>
        <w:pStyle w:val="7"/>
        <w:spacing w:before="181" w:after="20"/>
        <w:ind w:left="482" w:right="43"/>
        <w:jc w:val="center"/>
        <w:rPr>
          <w:lang w:eastAsia="zh-CN"/>
        </w:rPr>
      </w:pPr>
      <w:r>
        <w:rPr>
          <w:lang w:eastAsia="zh-CN"/>
        </w:rPr>
        <w:t>校内主要实训教学条件配置表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199"/>
        <w:gridCol w:w="726"/>
        <w:gridCol w:w="2174"/>
        <w:gridCol w:w="1694"/>
        <w:gridCol w:w="853"/>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2" w:hRule="atLeast"/>
          <w:jc w:val="center"/>
        </w:trPr>
        <w:tc>
          <w:tcPr>
            <w:tcW w:w="520" w:type="dxa"/>
            <w:vAlign w:val="center"/>
          </w:tcPr>
          <w:p>
            <w:pPr>
              <w:pStyle w:val="19"/>
              <w:jc w:val="center"/>
              <w:rPr>
                <w:b/>
              </w:rPr>
            </w:pPr>
            <w:r>
              <w:rPr>
                <w:b/>
              </w:rPr>
              <w:t>序号</w:t>
            </w:r>
          </w:p>
        </w:tc>
        <w:tc>
          <w:tcPr>
            <w:tcW w:w="1199" w:type="dxa"/>
            <w:vAlign w:val="center"/>
          </w:tcPr>
          <w:p>
            <w:pPr>
              <w:pStyle w:val="19"/>
              <w:ind w:right="57"/>
              <w:jc w:val="center"/>
              <w:rPr>
                <w:b/>
              </w:rPr>
            </w:pPr>
            <w:r>
              <w:rPr>
                <w:b/>
              </w:rPr>
              <w:t>实训室</w:t>
            </w:r>
          </w:p>
        </w:tc>
        <w:tc>
          <w:tcPr>
            <w:tcW w:w="726" w:type="dxa"/>
            <w:vAlign w:val="center"/>
          </w:tcPr>
          <w:p>
            <w:pPr>
              <w:pStyle w:val="19"/>
              <w:jc w:val="center"/>
              <w:rPr>
                <w:b/>
              </w:rPr>
            </w:pPr>
            <w:r>
              <w:rPr>
                <w:b/>
              </w:rPr>
              <w:t>地点</w:t>
            </w:r>
          </w:p>
        </w:tc>
        <w:tc>
          <w:tcPr>
            <w:tcW w:w="2174" w:type="dxa"/>
            <w:vAlign w:val="center"/>
          </w:tcPr>
          <w:p>
            <w:pPr>
              <w:pStyle w:val="19"/>
              <w:jc w:val="center"/>
              <w:rPr>
                <w:b/>
              </w:rPr>
            </w:pPr>
            <w:r>
              <w:rPr>
                <w:b/>
              </w:rPr>
              <w:t>主要设备</w:t>
            </w:r>
          </w:p>
        </w:tc>
        <w:tc>
          <w:tcPr>
            <w:tcW w:w="1694" w:type="dxa"/>
            <w:vAlign w:val="center"/>
          </w:tcPr>
          <w:p>
            <w:pPr>
              <w:pStyle w:val="19"/>
              <w:jc w:val="center"/>
              <w:rPr>
                <w:b/>
              </w:rPr>
            </w:pPr>
            <w:r>
              <w:rPr>
                <w:b/>
              </w:rPr>
              <w:t>实训内容</w:t>
            </w:r>
          </w:p>
        </w:tc>
        <w:tc>
          <w:tcPr>
            <w:tcW w:w="853" w:type="dxa"/>
            <w:vAlign w:val="center"/>
          </w:tcPr>
          <w:p>
            <w:pPr>
              <w:pStyle w:val="19"/>
              <w:spacing w:before="99" w:line="340" w:lineRule="auto"/>
              <w:ind w:left="58" w:right="247"/>
              <w:jc w:val="center"/>
              <w:rPr>
                <w:b/>
                <w:lang w:eastAsia="zh-CN"/>
              </w:rPr>
            </w:pPr>
            <w:r>
              <w:rPr>
                <w:rFonts w:hint="eastAsia"/>
                <w:b/>
                <w:lang w:eastAsia="zh-CN"/>
              </w:rPr>
              <w:t>工位数量</w:t>
            </w:r>
          </w:p>
        </w:tc>
        <w:tc>
          <w:tcPr>
            <w:tcW w:w="998" w:type="dxa"/>
            <w:vAlign w:val="center"/>
          </w:tcPr>
          <w:p>
            <w:pPr>
              <w:pStyle w:val="19"/>
              <w:jc w:val="center"/>
              <w:rPr>
                <w:b/>
              </w:rPr>
            </w:pPr>
            <w:r>
              <w:rPr>
                <w:b/>
              </w:rPr>
              <w:t>建成</w:t>
            </w:r>
          </w:p>
          <w:p>
            <w:pPr>
              <w:pStyle w:val="19"/>
              <w:ind w:left="59"/>
              <w:jc w:val="center"/>
              <w:rPr>
                <w:b/>
              </w:rPr>
            </w:pPr>
            <w:r>
              <w:rPr>
                <w:b/>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19"/>
              <w:jc w:val="center"/>
            </w:pPr>
            <w:r>
              <w:t>1</w:t>
            </w:r>
          </w:p>
        </w:tc>
        <w:tc>
          <w:tcPr>
            <w:tcW w:w="1199" w:type="dxa"/>
            <w:vAlign w:val="center"/>
          </w:tcPr>
          <w:p>
            <w:pPr>
              <w:pStyle w:val="19"/>
              <w:spacing w:before="99" w:line="281" w:lineRule="exact"/>
              <w:ind w:left="36" w:right="57"/>
              <w:jc w:val="center"/>
              <w:rPr>
                <w:rFonts w:hint="default"/>
                <w:lang w:val="en-US" w:eastAsia="zh-CN"/>
              </w:rPr>
            </w:pPr>
            <w:r>
              <w:rPr>
                <w:rFonts w:hint="eastAsia"/>
                <w:lang w:val="en-US" w:eastAsia="zh-CN"/>
              </w:rPr>
              <w:t>物流综合实训室</w:t>
            </w:r>
          </w:p>
        </w:tc>
        <w:tc>
          <w:tcPr>
            <w:tcW w:w="726" w:type="dxa"/>
            <w:vAlign w:val="center"/>
          </w:tcPr>
          <w:p>
            <w:pPr>
              <w:pStyle w:val="19"/>
              <w:spacing w:before="99" w:line="281" w:lineRule="exact"/>
              <w:ind w:left="36" w:right="57"/>
              <w:jc w:val="center"/>
              <w:rPr>
                <w:rFonts w:hint="default"/>
                <w:lang w:val="en-US" w:eastAsia="zh-CN"/>
              </w:rPr>
            </w:pPr>
            <w:r>
              <w:rPr>
                <w:rFonts w:hint="eastAsia"/>
                <w:lang w:val="en-US" w:eastAsia="zh-CN"/>
              </w:rPr>
              <w:t>8117</w:t>
            </w:r>
          </w:p>
        </w:tc>
        <w:tc>
          <w:tcPr>
            <w:tcW w:w="2174" w:type="dxa"/>
            <w:vAlign w:val="center"/>
          </w:tcPr>
          <w:p>
            <w:pPr>
              <w:pStyle w:val="19"/>
              <w:spacing w:before="99" w:line="281" w:lineRule="exact"/>
              <w:ind w:left="36" w:right="57"/>
              <w:jc w:val="center"/>
              <w:rPr>
                <w:rFonts w:hint="eastAsia"/>
                <w:lang w:val="en-US" w:eastAsia="zh-CN"/>
              </w:rPr>
            </w:pPr>
            <w:r>
              <w:rPr>
                <w:rFonts w:hint="eastAsia"/>
                <w:lang w:val="en-US" w:eastAsia="zh-CN"/>
              </w:rPr>
              <w:t>自动化立体仓、</w:t>
            </w:r>
          </w:p>
          <w:p>
            <w:pPr>
              <w:pStyle w:val="19"/>
              <w:spacing w:before="99" w:line="281" w:lineRule="exact"/>
              <w:ind w:left="36" w:right="57"/>
              <w:jc w:val="center"/>
              <w:rPr>
                <w:rFonts w:hint="eastAsia"/>
                <w:lang w:val="en-US" w:eastAsia="zh-CN"/>
              </w:rPr>
            </w:pPr>
            <w:r>
              <w:rPr>
                <w:rFonts w:hint="eastAsia"/>
                <w:lang w:val="en-US" w:eastAsia="zh-CN"/>
              </w:rPr>
              <w:t>AGV自动导引车、</w:t>
            </w:r>
          </w:p>
          <w:p>
            <w:pPr>
              <w:pStyle w:val="19"/>
              <w:spacing w:before="99" w:line="281" w:lineRule="exact"/>
              <w:ind w:left="36" w:right="57"/>
              <w:jc w:val="center"/>
              <w:rPr>
                <w:rFonts w:hint="default"/>
                <w:lang w:val="en-US" w:eastAsia="zh-CN"/>
              </w:rPr>
            </w:pPr>
            <w:r>
              <w:rPr>
                <w:rFonts w:hint="eastAsia"/>
                <w:lang w:val="en-US" w:eastAsia="zh-CN"/>
              </w:rPr>
              <w:t>打包机</w:t>
            </w:r>
          </w:p>
        </w:tc>
        <w:tc>
          <w:tcPr>
            <w:tcW w:w="1694" w:type="dxa"/>
            <w:vAlign w:val="center"/>
          </w:tcPr>
          <w:p>
            <w:pPr>
              <w:pStyle w:val="19"/>
              <w:spacing w:before="99" w:line="281" w:lineRule="exact"/>
              <w:ind w:left="36" w:right="57"/>
              <w:jc w:val="center"/>
              <w:rPr>
                <w:rFonts w:hint="eastAsia"/>
                <w:lang w:val="en-US" w:eastAsia="zh-CN"/>
              </w:rPr>
            </w:pPr>
            <w:r>
              <w:rPr>
                <w:rFonts w:hint="eastAsia"/>
                <w:lang w:val="en-US" w:eastAsia="zh-CN"/>
              </w:rPr>
              <w:t>包装作业</w:t>
            </w:r>
          </w:p>
          <w:p>
            <w:pPr>
              <w:pStyle w:val="19"/>
              <w:spacing w:before="99" w:line="281" w:lineRule="exact"/>
              <w:ind w:left="36" w:right="57"/>
              <w:jc w:val="center"/>
              <w:rPr>
                <w:rFonts w:hint="default"/>
                <w:lang w:val="en-US" w:eastAsia="zh-CN"/>
              </w:rPr>
            </w:pPr>
            <w:r>
              <w:rPr>
                <w:rFonts w:hint="eastAsia"/>
                <w:lang w:val="en-US" w:eastAsia="zh-CN"/>
              </w:rPr>
              <w:t>仓储作业</w:t>
            </w:r>
          </w:p>
        </w:tc>
        <w:tc>
          <w:tcPr>
            <w:tcW w:w="853" w:type="dxa"/>
            <w:vAlign w:val="center"/>
          </w:tcPr>
          <w:p>
            <w:pPr>
              <w:pStyle w:val="19"/>
              <w:spacing w:before="99" w:line="281" w:lineRule="exact"/>
              <w:ind w:left="36" w:right="57"/>
              <w:jc w:val="center"/>
              <w:rPr>
                <w:rFonts w:hint="eastAsia"/>
                <w:lang w:val="en-US" w:eastAsia="zh-CN"/>
              </w:rPr>
            </w:pPr>
            <w:r>
              <w:rPr>
                <w:rFonts w:hint="eastAsia"/>
                <w:lang w:val="en-US" w:eastAsia="zh-CN"/>
              </w:rPr>
              <w:t>48</w:t>
            </w:r>
          </w:p>
        </w:tc>
        <w:tc>
          <w:tcPr>
            <w:tcW w:w="998" w:type="dxa"/>
            <w:vAlign w:val="center"/>
          </w:tcPr>
          <w:p>
            <w:pPr>
              <w:pStyle w:val="19"/>
              <w:spacing w:before="99" w:line="281" w:lineRule="exact"/>
              <w:ind w:left="36" w:right="57"/>
              <w:jc w:val="center"/>
              <w:rPr>
                <w:rFonts w:hint="eastAsia"/>
                <w:lang w:val="en-US" w:eastAsia="zh-CN"/>
              </w:rPr>
            </w:pPr>
            <w:r>
              <w:rPr>
                <w:rFonts w:hint="eastAsia"/>
                <w:lang w:val="en-US"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520" w:type="dxa"/>
            <w:vAlign w:val="center"/>
          </w:tcPr>
          <w:p>
            <w:pPr>
              <w:pStyle w:val="19"/>
              <w:spacing w:before="99" w:line="281" w:lineRule="exact"/>
              <w:ind w:left="57"/>
              <w:jc w:val="center"/>
            </w:pPr>
            <w:r>
              <w:t>2</w:t>
            </w:r>
          </w:p>
        </w:tc>
        <w:tc>
          <w:tcPr>
            <w:tcW w:w="1199" w:type="dxa"/>
            <w:vAlign w:val="center"/>
          </w:tcPr>
          <w:p>
            <w:pPr>
              <w:pStyle w:val="19"/>
              <w:spacing w:before="99" w:line="281" w:lineRule="exact"/>
              <w:ind w:left="36" w:right="57"/>
              <w:jc w:val="center"/>
              <w:rPr>
                <w:rFonts w:hint="default" w:eastAsia="宋体"/>
                <w:lang w:val="en-US" w:eastAsia="zh-CN"/>
              </w:rPr>
            </w:pPr>
            <w:r>
              <w:rPr>
                <w:rFonts w:hint="eastAsia"/>
                <w:lang w:val="en-US" w:eastAsia="zh-CN"/>
              </w:rPr>
              <w:t>VR/AR实训室</w:t>
            </w:r>
          </w:p>
        </w:tc>
        <w:tc>
          <w:tcPr>
            <w:tcW w:w="726" w:type="dxa"/>
            <w:vAlign w:val="center"/>
          </w:tcPr>
          <w:p>
            <w:pPr>
              <w:pStyle w:val="19"/>
              <w:spacing w:before="99" w:line="281" w:lineRule="exact"/>
              <w:ind w:left="55"/>
              <w:jc w:val="center"/>
              <w:rPr>
                <w:rFonts w:hint="default" w:eastAsia="宋体"/>
                <w:lang w:val="en-US" w:eastAsia="zh-CN"/>
              </w:rPr>
            </w:pPr>
            <w:r>
              <w:rPr>
                <w:rFonts w:hint="eastAsia"/>
                <w:lang w:val="en-US" w:eastAsia="zh-CN"/>
              </w:rPr>
              <w:t>8208</w:t>
            </w:r>
          </w:p>
        </w:tc>
        <w:tc>
          <w:tcPr>
            <w:tcW w:w="2174" w:type="dxa"/>
            <w:vAlign w:val="center"/>
          </w:tcPr>
          <w:p>
            <w:pPr>
              <w:pStyle w:val="19"/>
              <w:spacing w:before="99" w:line="281" w:lineRule="exact"/>
              <w:ind w:left="57"/>
              <w:jc w:val="center"/>
              <w:rPr>
                <w:rFonts w:hint="default" w:eastAsia="宋体"/>
                <w:lang w:val="en-US" w:eastAsia="zh-CN"/>
              </w:rPr>
            </w:pPr>
            <w:r>
              <w:rPr>
                <w:rFonts w:hint="eastAsia"/>
                <w:lang w:val="en-US" w:eastAsia="zh-CN"/>
              </w:rPr>
              <w:t>VR/AR</w:t>
            </w:r>
          </w:p>
        </w:tc>
        <w:tc>
          <w:tcPr>
            <w:tcW w:w="1694" w:type="dxa"/>
            <w:vAlign w:val="center"/>
          </w:tcPr>
          <w:p>
            <w:pPr>
              <w:pStyle w:val="19"/>
              <w:spacing w:before="99" w:line="281" w:lineRule="exact"/>
              <w:ind w:left="58"/>
              <w:jc w:val="center"/>
              <w:rPr>
                <w:rFonts w:hint="eastAsia"/>
                <w:lang w:val="en-US" w:eastAsia="zh-CN"/>
              </w:rPr>
            </w:pPr>
            <w:r>
              <w:rPr>
                <w:rFonts w:hint="eastAsia"/>
                <w:lang w:val="en-US" w:eastAsia="zh-CN"/>
              </w:rPr>
              <w:t>仓库布局</w:t>
            </w:r>
          </w:p>
          <w:p>
            <w:pPr>
              <w:pStyle w:val="19"/>
              <w:spacing w:before="99" w:line="281" w:lineRule="exact"/>
              <w:ind w:left="58"/>
              <w:jc w:val="center"/>
              <w:rPr>
                <w:rFonts w:hint="default" w:eastAsia="宋体"/>
                <w:lang w:val="en-US" w:eastAsia="zh-CN"/>
              </w:rPr>
            </w:pPr>
            <w:r>
              <w:rPr>
                <w:rFonts w:hint="eastAsia"/>
                <w:lang w:val="en-US" w:eastAsia="zh-CN"/>
              </w:rPr>
              <w:t>线路规划</w:t>
            </w:r>
          </w:p>
        </w:tc>
        <w:tc>
          <w:tcPr>
            <w:tcW w:w="853" w:type="dxa"/>
            <w:vAlign w:val="center"/>
          </w:tcPr>
          <w:p>
            <w:pPr>
              <w:pStyle w:val="19"/>
              <w:spacing w:before="99" w:line="281" w:lineRule="exact"/>
              <w:ind w:left="58"/>
              <w:jc w:val="center"/>
              <w:rPr>
                <w:rFonts w:hint="default" w:eastAsia="宋体"/>
                <w:lang w:val="en-US" w:eastAsia="zh-CN"/>
              </w:rPr>
            </w:pPr>
            <w:r>
              <w:rPr>
                <w:rFonts w:hint="eastAsia"/>
                <w:lang w:val="en-US" w:eastAsia="zh-CN"/>
              </w:rPr>
              <w:t>20</w:t>
            </w:r>
          </w:p>
        </w:tc>
        <w:tc>
          <w:tcPr>
            <w:tcW w:w="998" w:type="dxa"/>
            <w:vAlign w:val="center"/>
          </w:tcPr>
          <w:p>
            <w:pPr>
              <w:pStyle w:val="19"/>
              <w:spacing w:before="99" w:line="281" w:lineRule="exact"/>
              <w:ind w:left="59"/>
              <w:jc w:val="center"/>
              <w:rPr>
                <w:rFonts w:hint="default" w:eastAsia="宋体"/>
                <w:lang w:val="en-US" w:eastAsia="zh-CN"/>
              </w:rPr>
            </w:pPr>
            <w:r>
              <w:rPr>
                <w:rFonts w:hint="eastAsia"/>
                <w:lang w:val="en-US" w:eastAsia="zh-CN"/>
              </w:rPr>
              <w:t>2020年</w:t>
            </w:r>
          </w:p>
        </w:tc>
      </w:tr>
    </w:tbl>
    <w:p>
      <w:pPr>
        <w:pStyle w:val="7"/>
        <w:spacing w:before="3"/>
        <w:rPr>
          <w:sz w:val="5"/>
        </w:rPr>
      </w:pPr>
    </w:p>
    <w:p>
      <w:pPr>
        <w:adjustRightInd w:val="0"/>
        <w:snapToGrid w:val="0"/>
        <w:spacing w:before="120" w:beforeLines="50" w:after="120" w:afterLines="50" w:line="360" w:lineRule="auto"/>
        <w:jc w:val="center"/>
        <w:rPr>
          <w:sz w:val="21"/>
          <w:lang w:eastAsia="zh-CN"/>
        </w:rPr>
      </w:pPr>
      <w:r>
        <w:rPr>
          <w:spacing w:val="-3"/>
          <w:sz w:val="21"/>
          <w:lang w:eastAsia="zh-CN"/>
        </w:rPr>
        <w:t>校外主要实践教学条件配置表</w:t>
      </w:r>
    </w:p>
    <w:tbl>
      <w:tblPr>
        <w:tblStyle w:val="2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170"/>
        <w:gridCol w:w="2591"/>
        <w:gridCol w:w="1052"/>
        <w:gridCol w:w="1135"/>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6" w:type="dxa"/>
          </w:tcPr>
          <w:p>
            <w:pPr>
              <w:pStyle w:val="19"/>
              <w:spacing w:before="99" w:line="279" w:lineRule="exact"/>
              <w:ind w:left="107"/>
              <w:jc w:val="center"/>
              <w:rPr>
                <w:b/>
              </w:rPr>
            </w:pPr>
            <w:r>
              <w:rPr>
                <w:b/>
              </w:rPr>
              <w:t>序号</w:t>
            </w:r>
          </w:p>
        </w:tc>
        <w:tc>
          <w:tcPr>
            <w:tcW w:w="2170" w:type="dxa"/>
          </w:tcPr>
          <w:p>
            <w:pPr>
              <w:pStyle w:val="19"/>
              <w:spacing w:before="99" w:line="279" w:lineRule="exact"/>
              <w:ind w:left="107"/>
              <w:jc w:val="center"/>
              <w:rPr>
                <w:b/>
              </w:rPr>
            </w:pPr>
            <w:r>
              <w:rPr>
                <w:b/>
              </w:rPr>
              <w:t>实习基地名称</w:t>
            </w:r>
          </w:p>
        </w:tc>
        <w:tc>
          <w:tcPr>
            <w:tcW w:w="2591" w:type="dxa"/>
          </w:tcPr>
          <w:p>
            <w:pPr>
              <w:pStyle w:val="19"/>
              <w:spacing w:before="99" w:line="279" w:lineRule="exact"/>
              <w:ind w:left="107"/>
              <w:jc w:val="center"/>
              <w:rPr>
                <w:b/>
              </w:rPr>
            </w:pPr>
            <w:r>
              <w:rPr>
                <w:b/>
              </w:rPr>
              <w:t>合作单位</w:t>
            </w:r>
          </w:p>
        </w:tc>
        <w:tc>
          <w:tcPr>
            <w:tcW w:w="1052" w:type="dxa"/>
          </w:tcPr>
          <w:p>
            <w:pPr>
              <w:pStyle w:val="19"/>
              <w:spacing w:before="99" w:line="279" w:lineRule="exact"/>
              <w:ind w:left="107"/>
              <w:jc w:val="center"/>
              <w:rPr>
                <w:b/>
              </w:rPr>
            </w:pPr>
            <w:r>
              <w:rPr>
                <w:b/>
              </w:rPr>
              <w:t>实习岗位</w:t>
            </w:r>
          </w:p>
        </w:tc>
        <w:tc>
          <w:tcPr>
            <w:tcW w:w="1135" w:type="dxa"/>
          </w:tcPr>
          <w:p>
            <w:pPr>
              <w:pStyle w:val="19"/>
              <w:spacing w:before="99" w:line="279" w:lineRule="exact"/>
              <w:ind w:left="107"/>
              <w:jc w:val="center"/>
              <w:rPr>
                <w:b/>
              </w:rPr>
            </w:pPr>
            <w:r>
              <w:rPr>
                <w:b/>
              </w:rPr>
              <w:t>容纳人数</w:t>
            </w:r>
          </w:p>
        </w:tc>
        <w:tc>
          <w:tcPr>
            <w:tcW w:w="758" w:type="dxa"/>
          </w:tcPr>
          <w:p>
            <w:pPr>
              <w:pStyle w:val="19"/>
              <w:spacing w:before="99" w:line="279" w:lineRule="exact"/>
              <w:ind w:left="107"/>
              <w:jc w:val="center"/>
              <w:rPr>
                <w:b/>
              </w:rPr>
            </w:pPr>
            <w:r>
              <w:rPr>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816" w:type="dxa"/>
            <w:vAlign w:val="center"/>
          </w:tcPr>
          <w:p>
            <w:pPr>
              <w:pStyle w:val="19"/>
              <w:spacing w:before="1"/>
              <w:jc w:val="center"/>
            </w:pPr>
            <w:r>
              <w:t>1</w:t>
            </w:r>
          </w:p>
        </w:tc>
        <w:tc>
          <w:tcPr>
            <w:tcW w:w="2170" w:type="dxa"/>
            <w:vAlign w:val="center"/>
          </w:tcPr>
          <w:p>
            <w:pPr>
              <w:pStyle w:val="19"/>
              <w:spacing w:before="1"/>
              <w:jc w:val="center"/>
              <w:rPr>
                <w:color w:val="auto"/>
                <w:lang w:eastAsia="zh-CN"/>
              </w:rPr>
            </w:pPr>
            <w:r>
              <w:rPr>
                <w:rFonts w:hint="eastAsia"/>
                <w:color w:val="auto"/>
                <w:lang w:val="en-US" w:eastAsia="zh-CN"/>
              </w:rPr>
              <w:t>现代物流</w:t>
            </w:r>
            <w:r>
              <w:rPr>
                <w:color w:val="auto"/>
                <w:lang w:eastAsia="zh-CN"/>
              </w:rPr>
              <w:t>实训基地</w:t>
            </w:r>
          </w:p>
        </w:tc>
        <w:tc>
          <w:tcPr>
            <w:tcW w:w="2591" w:type="dxa"/>
            <w:vAlign w:val="center"/>
          </w:tcPr>
          <w:p>
            <w:pPr>
              <w:pStyle w:val="19"/>
              <w:spacing w:before="3" w:line="398" w:lineRule="exact"/>
              <w:ind w:left="107" w:right="261"/>
              <w:jc w:val="center"/>
              <w:rPr>
                <w:color w:val="auto"/>
                <w:lang w:eastAsia="zh-CN"/>
              </w:rPr>
            </w:pPr>
            <w:r>
              <w:rPr>
                <w:rFonts w:hint="eastAsia"/>
                <w:color w:val="auto"/>
                <w:lang w:val="en-US" w:eastAsia="zh-CN"/>
              </w:rPr>
              <w:t>森马（嘉兴）物流投资有限公司</w:t>
            </w:r>
          </w:p>
        </w:tc>
        <w:tc>
          <w:tcPr>
            <w:tcW w:w="1052" w:type="dxa"/>
            <w:vAlign w:val="center"/>
          </w:tcPr>
          <w:p>
            <w:pPr>
              <w:pStyle w:val="19"/>
              <w:spacing w:before="1"/>
              <w:jc w:val="center"/>
              <w:rPr>
                <w:rFonts w:hint="eastAsia" w:eastAsia="宋体"/>
                <w:color w:val="auto"/>
                <w:lang w:val="en-US" w:eastAsia="zh-CN"/>
              </w:rPr>
            </w:pPr>
            <w:r>
              <w:rPr>
                <w:rFonts w:hint="eastAsia"/>
                <w:color w:val="auto"/>
                <w:lang w:val="en-US" w:eastAsia="zh-CN"/>
              </w:rPr>
              <w:t>仓管员</w:t>
            </w:r>
          </w:p>
        </w:tc>
        <w:tc>
          <w:tcPr>
            <w:tcW w:w="1135" w:type="dxa"/>
            <w:vAlign w:val="center"/>
          </w:tcPr>
          <w:p>
            <w:pPr>
              <w:pStyle w:val="19"/>
              <w:spacing w:before="1"/>
              <w:jc w:val="center"/>
              <w:rPr>
                <w:rFonts w:hint="default" w:eastAsia="宋体"/>
                <w:color w:val="auto"/>
                <w:lang w:val="en-US" w:eastAsia="zh-CN"/>
              </w:rPr>
            </w:pPr>
            <w:r>
              <w:rPr>
                <w:rFonts w:hint="eastAsia"/>
                <w:color w:val="auto"/>
                <w:lang w:val="en-US" w:eastAsia="zh-CN"/>
              </w:rPr>
              <w:t>43</w:t>
            </w:r>
          </w:p>
        </w:tc>
        <w:tc>
          <w:tcPr>
            <w:tcW w:w="758" w:type="dxa"/>
            <w:vAlign w:val="center"/>
          </w:tcPr>
          <w:p>
            <w:pPr>
              <w:pStyle w:val="19"/>
              <w:jc w:val="center"/>
              <w:rPr>
                <w:rFonts w:ascii="Times New Roman"/>
              </w:rPr>
            </w:pPr>
          </w:p>
        </w:tc>
      </w:tr>
    </w:tbl>
    <w:p>
      <w:pPr>
        <w:pStyle w:val="7"/>
        <w:spacing w:before="3"/>
        <w:rPr>
          <w:sz w:val="5"/>
          <w:lang w:eastAsia="zh-CN"/>
        </w:rPr>
      </w:pPr>
    </w:p>
    <w:p>
      <w:pPr>
        <w:pStyle w:val="24"/>
        <w:tabs>
          <w:tab w:val="left" w:pos="1988"/>
        </w:tabs>
        <w:adjustRightInd w:val="0"/>
        <w:snapToGrid w:val="0"/>
        <w:spacing w:before="1" w:line="360" w:lineRule="auto"/>
        <w:ind w:left="0" w:leftChars="0" w:firstLine="482" w:firstLineChars="200"/>
        <w:rPr>
          <w:b/>
          <w:sz w:val="24"/>
          <w:lang w:eastAsia="zh-CN"/>
        </w:rPr>
      </w:pPr>
      <w:bookmarkStart w:id="37" w:name="十、毕业要求"/>
      <w:bookmarkEnd w:id="37"/>
      <w:bookmarkStart w:id="38" w:name="_bookmark31"/>
      <w:bookmarkEnd w:id="38"/>
      <w:r>
        <w:rPr>
          <w:rFonts w:hint="eastAsia"/>
          <w:b/>
          <w:sz w:val="24"/>
          <w:lang w:eastAsia="zh-CN"/>
        </w:rPr>
        <w:t>3.信息化教学设施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pPr>
        <w:pStyle w:val="3"/>
        <w:keepNext w:val="0"/>
        <w:keepLines w:val="0"/>
        <w:pageBreakBefore w:val="0"/>
        <w:widowControl w:val="0"/>
        <w:tabs>
          <w:tab w:val="left" w:pos="1626"/>
        </w:tabs>
        <w:kinsoku/>
        <w:wordWrap/>
        <w:overflowPunct/>
        <w:topLinePunct w:val="0"/>
        <w:autoSpaceDE w:val="0"/>
        <w:autoSpaceDN w:val="0"/>
        <w:bidi w:val="0"/>
        <w:adjustRightInd w:val="0"/>
        <w:snapToGrid w:val="0"/>
        <w:spacing w:before="0" w:line="360" w:lineRule="auto"/>
        <w:ind w:left="0" w:firstLine="482" w:firstLineChars="200"/>
        <w:textAlignment w:val="auto"/>
        <w:rPr>
          <w:lang w:eastAsia="zh-CN"/>
        </w:rPr>
      </w:pPr>
      <w:bookmarkStart w:id="39" w:name="_Toc30969"/>
      <w:r>
        <w:rPr>
          <w:rFonts w:hint="eastAsia"/>
          <w:lang w:eastAsia="zh-CN"/>
        </w:rPr>
        <w:t>（三）教学资源</w:t>
      </w:r>
      <w:bookmarkEnd w:id="39"/>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sz w:val="24"/>
          <w:szCs w:val="24"/>
          <w:lang w:eastAsia="zh-CN"/>
        </w:rPr>
      </w:pPr>
      <w:r>
        <w:rPr>
          <w:rFonts w:hint="eastAsia"/>
          <w:sz w:val="24"/>
          <w:szCs w:val="24"/>
          <w:lang w:eastAsia="zh-CN"/>
        </w:rPr>
        <w:t>主要包括能够满足学生专业学习、教师专业教学研究和教学实施需要的教材、图书及数字化资源等。</w:t>
      </w:r>
    </w:p>
    <w:p>
      <w:pPr>
        <w:pStyle w:val="24"/>
        <w:keepNext w:val="0"/>
        <w:keepLines w:val="0"/>
        <w:pageBreakBefore w:val="0"/>
        <w:widowControl w:val="0"/>
        <w:tabs>
          <w:tab w:val="left" w:pos="1988"/>
        </w:tabs>
        <w:kinsoku/>
        <w:wordWrap/>
        <w:overflowPunct/>
        <w:topLinePunct w:val="0"/>
        <w:autoSpaceDE w:val="0"/>
        <w:autoSpaceDN w:val="0"/>
        <w:bidi w:val="0"/>
        <w:adjustRightInd w:val="0"/>
        <w:snapToGrid w:val="0"/>
        <w:spacing w:before="0" w:line="360" w:lineRule="auto"/>
        <w:ind w:left="0" w:firstLine="482" w:firstLineChars="200"/>
        <w:textAlignment w:val="auto"/>
        <w:rPr>
          <w:b/>
          <w:sz w:val="24"/>
          <w:lang w:eastAsia="zh-CN"/>
        </w:rPr>
      </w:pPr>
      <w:r>
        <w:rPr>
          <w:rFonts w:hint="eastAsia"/>
          <w:b/>
          <w:sz w:val="24"/>
          <w:lang w:eastAsia="zh-CN"/>
        </w:rPr>
        <w:t>1.教材选用基本要求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w:t>
      </w:r>
      <w:r>
        <w:rPr>
          <w:rFonts w:hint="eastAsia"/>
          <w:sz w:val="24"/>
          <w:szCs w:val="24"/>
          <w:lang w:val="en-US" w:eastAsia="zh-CN"/>
        </w:rPr>
        <w:t>现代物流管理</w:t>
      </w:r>
      <w:r>
        <w:rPr>
          <w:rFonts w:hint="eastAsia"/>
          <w:sz w:val="24"/>
          <w:szCs w:val="24"/>
          <w:lang w:eastAsia="zh-CN"/>
        </w:rPr>
        <w:t>专业的基本理论、基本知识和基本技能。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sz w:val="24"/>
          <w:szCs w:val="24"/>
          <w:lang w:eastAsia="zh-CN"/>
        </w:rPr>
      </w:pPr>
      <w:r>
        <w:rPr>
          <w:rFonts w:hint="eastAsia"/>
          <w:sz w:val="24"/>
          <w:szCs w:val="24"/>
          <w:lang w:eastAsia="zh-CN"/>
        </w:rPr>
        <w:t>（2）必须符合</w:t>
      </w:r>
      <w:r>
        <w:rPr>
          <w:rFonts w:hint="eastAsia"/>
          <w:sz w:val="24"/>
          <w:szCs w:val="24"/>
          <w:lang w:val="en-US" w:eastAsia="zh-CN"/>
        </w:rPr>
        <w:t>现代物流管理</w:t>
      </w:r>
      <w:r>
        <w:rPr>
          <w:rFonts w:hint="eastAsia"/>
          <w:sz w:val="24"/>
          <w:szCs w:val="24"/>
          <w:lang w:eastAsia="zh-CN"/>
        </w:rPr>
        <w:t>专业人才培养目标及课程教学的要求，理论深度适宜，符合认知规律，富有启发性创新性，有利于激发学生学习兴趣，有利于学生知识、能力和素质的培养。</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pStyle w:val="24"/>
        <w:keepNext w:val="0"/>
        <w:keepLines w:val="0"/>
        <w:pageBreakBefore w:val="0"/>
        <w:widowControl w:val="0"/>
        <w:tabs>
          <w:tab w:val="left" w:pos="1988"/>
        </w:tabs>
        <w:kinsoku/>
        <w:wordWrap/>
        <w:overflowPunct/>
        <w:topLinePunct w:val="0"/>
        <w:autoSpaceDE w:val="0"/>
        <w:autoSpaceDN w:val="0"/>
        <w:bidi w:val="0"/>
        <w:adjustRightInd w:val="0"/>
        <w:snapToGrid w:val="0"/>
        <w:spacing w:before="0" w:line="360" w:lineRule="auto"/>
        <w:ind w:left="0" w:right="0" w:firstLine="482" w:firstLineChars="200"/>
        <w:textAlignment w:val="auto"/>
        <w:rPr>
          <w:b/>
          <w:sz w:val="24"/>
          <w:lang w:eastAsia="zh-CN"/>
        </w:rPr>
      </w:pPr>
      <w:r>
        <w:rPr>
          <w:rFonts w:hint="eastAsia"/>
          <w:b/>
          <w:sz w:val="24"/>
          <w:lang w:eastAsia="zh-CN"/>
        </w:rPr>
        <w:t>2.图书文献配备基本要求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sz w:val="24"/>
          <w:szCs w:val="24"/>
          <w:lang w:eastAsia="zh-CN"/>
        </w:rPr>
      </w:pPr>
      <w:r>
        <w:rPr>
          <w:rFonts w:hint="eastAsia"/>
          <w:sz w:val="24"/>
          <w:szCs w:val="24"/>
          <w:lang w:eastAsia="zh-CN"/>
        </w:rPr>
        <w:t>配备能够满足</w:t>
      </w:r>
      <w:r>
        <w:rPr>
          <w:rFonts w:hint="eastAsia"/>
          <w:sz w:val="24"/>
          <w:szCs w:val="24"/>
          <w:lang w:val="en-US" w:eastAsia="zh-CN"/>
        </w:rPr>
        <w:t>现代物流管理</w:t>
      </w:r>
      <w:r>
        <w:rPr>
          <w:rFonts w:hint="eastAsia"/>
          <w:sz w:val="24"/>
          <w:szCs w:val="24"/>
          <w:lang w:eastAsia="zh-CN"/>
        </w:rPr>
        <w:t>专业教学、科研、技能大赛等要求的教材、图书及数字化学习资源。</w:t>
      </w:r>
    </w:p>
    <w:p>
      <w:pPr>
        <w:pStyle w:val="24"/>
        <w:keepNext w:val="0"/>
        <w:keepLines w:val="0"/>
        <w:pageBreakBefore w:val="0"/>
        <w:widowControl w:val="0"/>
        <w:tabs>
          <w:tab w:val="left" w:pos="1988"/>
        </w:tabs>
        <w:kinsoku/>
        <w:wordWrap/>
        <w:overflowPunct/>
        <w:topLinePunct w:val="0"/>
        <w:autoSpaceDE w:val="0"/>
        <w:autoSpaceDN w:val="0"/>
        <w:bidi w:val="0"/>
        <w:adjustRightInd w:val="0"/>
        <w:snapToGrid w:val="0"/>
        <w:spacing w:before="0" w:line="360" w:lineRule="auto"/>
        <w:ind w:left="0" w:right="0" w:firstLine="482" w:firstLineChars="200"/>
        <w:textAlignment w:val="auto"/>
        <w:rPr>
          <w:b/>
          <w:sz w:val="24"/>
          <w:lang w:eastAsia="zh-CN"/>
        </w:rPr>
      </w:pPr>
      <w:r>
        <w:rPr>
          <w:rFonts w:hint="eastAsia"/>
          <w:b/>
          <w:sz w:val="24"/>
          <w:lang w:eastAsia="zh-CN"/>
        </w:rPr>
        <w:t>3.数字教学资源配置</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rFonts w:hint="eastAsia"/>
          <w:sz w:val="24"/>
          <w:szCs w:val="24"/>
          <w:lang w:eastAsia="zh-CN"/>
        </w:rPr>
        <w:t>本专业有很好的信息化教学基础，教学资源丰富。所有课程的课程标准、授课计划、教案、教学素材、习题、参考资料等资源均实现了数字化，建成了课程网站，学生可以充分利用网站进行自主学习。下一步，将于企业合作建设微课和教学资源库，进一步提升信息化资源的针对性和有效性。</w:t>
      </w:r>
    </w:p>
    <w:p>
      <w:pPr>
        <w:pStyle w:val="3"/>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right="0" w:firstLine="482" w:firstLineChars="200"/>
        <w:textAlignment w:val="auto"/>
        <w:rPr>
          <w:lang w:eastAsia="zh-CN"/>
        </w:rPr>
      </w:pPr>
      <w:bookmarkStart w:id="40" w:name="_Toc19937"/>
      <w:r>
        <w:rPr>
          <w:rFonts w:hint="eastAsia"/>
          <w:lang w:eastAsia="zh-CN"/>
        </w:rPr>
        <w:t>（四）教学方法</w:t>
      </w:r>
      <w:bookmarkEnd w:id="40"/>
    </w:p>
    <w:p>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根据</w:t>
      </w:r>
      <w:r>
        <w:rPr>
          <w:rFonts w:hint="eastAsia"/>
          <w:sz w:val="24"/>
          <w:szCs w:val="24"/>
          <w:lang w:val="en-US" w:eastAsia="zh-CN"/>
        </w:rPr>
        <w:t>现代物流管理</w:t>
      </w:r>
      <w:r>
        <w:rPr>
          <w:rFonts w:hint="eastAsia"/>
          <w:sz w:val="24"/>
          <w:szCs w:val="24"/>
          <w:lang w:eastAsia="zh-CN"/>
        </w:rPr>
        <w:t>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依据专业培养目标、课程教学要求、学生能力与教学资源，采用适当的教学方法，以达到预期的教学目标。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公共基础课可以采用讲授式教学、启发式教学、问题探究式教学等方法，通过集体讲解、师生对话、小组讨论、案例分析、演讲竞赛等形式，调动学生学习积极性，为专业基础课和专业技能课的学习以及再教育奠定基础。</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专业基础课可以采用启发式教学、案例式教学、项目式教学等方法，利用集体讲解、师生对话、小组讨论、案例分析、模拟实验、企业参观等形式，配合多媒体教学课件、数字化教学资源等手段，使学生更好地理解和掌握比较抽象的原理性知识，为后续课程的学习奠定扎实的基础。</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ascii="宋体" w:hAnsi="宋体" w:cs="仿宋_GB2312"/>
          <w:sz w:val="24"/>
          <w:szCs w:val="24"/>
        </w:rPr>
        <w:t>专业核心课可以采用理实一体化教学、任务驱动式教学、项目式教学等方法组织教学，利用集体讲解、小组讨论、案例分析、分组训练、综合实践等形式，配合多媒体教学课件、数字化教学资源、仿真模拟软件等手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ascii="宋体" w:hAnsi="宋体" w:cs="仿宋_GB2312"/>
          <w:sz w:val="24"/>
          <w:szCs w:val="24"/>
        </w:rPr>
        <w:t>选修课可以根据课程特点和学校特色，灵活采用各种教学方法开展教学。 </w:t>
      </w:r>
    </w:p>
    <w:p>
      <w:pPr>
        <w:pStyle w:val="3"/>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right="0" w:firstLine="482" w:firstLineChars="200"/>
        <w:textAlignment w:val="auto"/>
        <w:rPr>
          <w:lang w:eastAsia="zh-CN"/>
        </w:rPr>
      </w:pPr>
      <w:bookmarkStart w:id="41" w:name="_Toc21697"/>
      <w:r>
        <w:rPr>
          <w:rFonts w:hint="eastAsia"/>
          <w:lang w:eastAsia="zh-CN"/>
        </w:rPr>
        <w:t>（五）教学评价</w:t>
      </w:r>
      <w:bookmarkEnd w:id="41"/>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hAnsi="宋体" w:cs="仿宋_GB2312"/>
          <w:sz w:val="24"/>
          <w:szCs w:val="24"/>
        </w:rPr>
      </w:pPr>
      <w:bookmarkStart w:id="42" w:name="_Toc29322"/>
      <w:r>
        <w:rPr>
          <w:rFonts w:hint="eastAsia" w:ascii="宋体" w:hAnsi="宋体" w:cs="仿宋_GB2312"/>
          <w:sz w:val="24"/>
          <w:szCs w:val="24"/>
        </w:rPr>
        <w:t>坚持事前评价与事后评价相结合、过程评价与结果评价相结合、定性评价与定量评价相结合、主观评价与客观评价相结合的多元化评价原则。</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 xml:space="preserve">实行理论考试、实训考核与日常操行表现评价相结合的评价方式，以利于学生综合职业能力的发展。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理论部分的考核可以采用课堂综合表现评价、作业评价、学习效果课堂展示、综合笔试等多元评价方法。笔试主要针对各部分的基本知识进行命题。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 xml:space="preserve">实践部分采用过程性评价和成果考核相结合的方式。实践考试要设计便于操作的考题和细化的评分标准。 </w:t>
      </w:r>
    </w:p>
    <w:p>
      <w:pPr>
        <w:pStyle w:val="3"/>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right="0" w:firstLine="482" w:firstLineChars="200"/>
        <w:textAlignment w:val="auto"/>
        <w:rPr>
          <w:lang w:eastAsia="zh-CN"/>
        </w:rPr>
      </w:pPr>
      <w:r>
        <w:rPr>
          <w:rFonts w:hint="eastAsia"/>
          <w:lang w:eastAsia="zh-CN"/>
        </w:rPr>
        <w:t>（六）质量管理</w:t>
      </w:r>
      <w:bookmarkEnd w:id="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仿宋_GB2312"/>
          <w:sz w:val="24"/>
          <w:szCs w:val="24"/>
        </w:rPr>
      </w:pPr>
      <w:bookmarkStart w:id="43" w:name="_Toc30814"/>
      <w:r>
        <w:rPr>
          <w:rFonts w:hint="eastAsia" w:ascii="宋体" w:hAnsi="宋体" w:cs="仿宋_GB2312"/>
          <w:sz w:val="24"/>
          <w:szCs w:val="24"/>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2" w:firstLineChars="200"/>
        <w:textAlignment w:val="auto"/>
        <w:outlineLvl w:val="0"/>
        <w:rPr>
          <w:rStyle w:val="21"/>
          <w:rFonts w:ascii="黑体" w:hAnsi="黑体" w:eastAsia="黑体" w:cs="黑体"/>
          <w:lang w:eastAsia="zh-CN"/>
        </w:rPr>
      </w:pPr>
      <w:r>
        <w:rPr>
          <w:rStyle w:val="21"/>
          <w:rFonts w:hint="eastAsia" w:ascii="黑体" w:hAnsi="黑体" w:eastAsia="黑体" w:cs="黑体"/>
          <w:lang w:eastAsia="zh-CN"/>
        </w:rPr>
        <w:t>九、毕业要求</w:t>
      </w:r>
      <w:bookmarkEnd w:id="43"/>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44" w:firstLineChars="200"/>
        <w:textAlignment w:val="auto"/>
        <w:rPr>
          <w:spacing w:val="-9"/>
          <w:sz w:val="24"/>
          <w:lang w:eastAsia="zh-CN"/>
        </w:rPr>
      </w:pPr>
      <w:r>
        <w:rPr>
          <w:rFonts w:hint="eastAsia"/>
          <w:spacing w:val="-9"/>
          <w:sz w:val="24"/>
          <w:lang w:eastAsia="zh-CN"/>
        </w:rPr>
        <w:t>（一）本专业学生毕业最低取得</w:t>
      </w:r>
      <w:r>
        <w:rPr>
          <w:rFonts w:hint="eastAsia"/>
          <w:spacing w:val="-9"/>
          <w:sz w:val="24"/>
          <w:lang w:val="en-US" w:eastAsia="zh-CN"/>
        </w:rPr>
        <w:t>164</w:t>
      </w:r>
      <w:r>
        <w:rPr>
          <w:rFonts w:hint="eastAsia"/>
          <w:spacing w:val="-9"/>
          <w:sz w:val="24"/>
          <w:lang w:eastAsia="zh-CN"/>
        </w:rPr>
        <w:t xml:space="preserve"> 学分，其中公共基础领域 </w:t>
      </w:r>
      <w:r>
        <w:rPr>
          <w:rFonts w:hint="eastAsia"/>
          <w:spacing w:val="-9"/>
          <w:sz w:val="24"/>
          <w:lang w:val="en-US" w:eastAsia="zh-CN"/>
        </w:rPr>
        <w:t>43</w:t>
      </w:r>
      <w:r>
        <w:rPr>
          <w:rFonts w:hint="eastAsia"/>
          <w:spacing w:val="-9"/>
          <w:sz w:val="24"/>
          <w:lang w:eastAsia="zh-CN"/>
        </w:rPr>
        <w:t>学分，专业学习领域</w:t>
      </w:r>
      <w:r>
        <w:rPr>
          <w:rFonts w:hint="eastAsia"/>
          <w:spacing w:val="-9"/>
          <w:sz w:val="24"/>
          <w:lang w:val="en-US" w:eastAsia="zh-CN"/>
        </w:rPr>
        <w:t>121</w:t>
      </w:r>
      <w:r>
        <w:rPr>
          <w:rFonts w:hint="eastAsia"/>
          <w:spacing w:val="-9"/>
          <w:sz w:val="24"/>
          <w:lang w:eastAsia="zh-CN"/>
        </w:rPr>
        <w:t>学分（顶岗实习与毕业设计、大学生创业特训课程学分计入专业学习领域）。</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44" w:firstLineChars="200"/>
        <w:textAlignment w:val="auto"/>
        <w:rPr>
          <w:rFonts w:hint="eastAsia"/>
          <w:spacing w:val="-9"/>
          <w:sz w:val="24"/>
          <w:lang w:eastAsia="zh-CN"/>
        </w:rPr>
      </w:pPr>
      <w:r>
        <w:rPr>
          <w:rFonts w:hint="eastAsia"/>
          <w:spacing w:val="-9"/>
          <w:sz w:val="24"/>
          <w:lang w:eastAsia="zh-CN"/>
        </w:rPr>
        <w:t>（二）参加规定的顶岗实习，提交符合要求的实习鉴定、毕业设计并答辩合格。</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44" w:firstLineChars="200"/>
        <w:textAlignment w:val="auto"/>
        <w:rPr>
          <w:rFonts w:hint="eastAsia"/>
          <w:spacing w:val="-9"/>
          <w:sz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44" w:firstLineChars="200"/>
        <w:textAlignment w:val="auto"/>
        <w:rPr>
          <w:rFonts w:hint="eastAsia"/>
          <w:spacing w:val="-9"/>
          <w:sz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44" w:firstLineChars="200"/>
        <w:textAlignment w:val="auto"/>
        <w:rPr>
          <w:rFonts w:hint="eastAsia"/>
          <w:spacing w:val="-9"/>
          <w:sz w:val="24"/>
          <w:lang w:eastAsia="zh-CN"/>
        </w:rPr>
      </w:pPr>
    </w:p>
    <w:p>
      <w:pPr>
        <w:adjustRightInd w:val="0"/>
        <w:snapToGrid w:val="0"/>
        <w:spacing w:line="360" w:lineRule="auto"/>
        <w:ind w:firstLine="482" w:firstLineChars="200"/>
        <w:outlineLvl w:val="0"/>
        <w:rPr>
          <w:rStyle w:val="21"/>
          <w:rFonts w:ascii="黑体" w:hAnsi="黑体" w:eastAsia="黑体" w:cs="黑体"/>
          <w:lang w:eastAsia="zh-CN"/>
        </w:rPr>
      </w:pPr>
      <w:bookmarkStart w:id="44" w:name="_Toc9733"/>
      <w:r>
        <w:rPr>
          <w:rStyle w:val="21"/>
          <w:rFonts w:hint="eastAsia" w:ascii="黑体" w:hAnsi="黑体" w:eastAsia="黑体" w:cs="黑体"/>
          <w:lang w:eastAsia="zh-CN"/>
        </w:rPr>
        <w:t>附件列表：</w:t>
      </w:r>
      <w:bookmarkEnd w:id="44"/>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附件一:</w:t>
      </w:r>
      <w:r>
        <w:rPr>
          <w:rFonts w:hint="eastAsia"/>
          <w:spacing w:val="-9"/>
          <w:sz w:val="24"/>
          <w:lang w:val="en-US" w:eastAsia="zh-CN"/>
        </w:rPr>
        <w:t xml:space="preserve"> </w:t>
      </w:r>
      <w:r>
        <w:rPr>
          <w:rFonts w:hint="eastAsia"/>
          <w:spacing w:val="-9"/>
          <w:sz w:val="24"/>
          <w:lang w:eastAsia="zh-CN"/>
        </w:rPr>
        <w:t>专业课程</w:t>
      </w:r>
      <w:r>
        <w:rPr>
          <w:rFonts w:hint="eastAsia"/>
          <w:spacing w:val="-9"/>
          <w:sz w:val="24"/>
          <w:lang w:val="en-US" w:eastAsia="zh-CN"/>
        </w:rPr>
        <w:t>课程标准</w:t>
      </w:r>
      <w:r>
        <w:rPr>
          <w:rFonts w:hint="eastAsia"/>
          <w:spacing w:val="-9"/>
          <w:sz w:val="24"/>
          <w:lang w:eastAsia="zh-CN"/>
        </w:rPr>
        <w:t>（要求涵盖本专业全部专业课的课程标准）</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附件二：</w:t>
      </w:r>
      <w:r>
        <w:rPr>
          <w:rFonts w:hint="eastAsia"/>
          <w:spacing w:val="-9"/>
          <w:sz w:val="24"/>
          <w:lang w:val="en-US" w:eastAsia="zh-CN"/>
        </w:rPr>
        <w:t>现代物流管理</w:t>
      </w:r>
      <w:r>
        <w:rPr>
          <w:rFonts w:hint="eastAsia"/>
          <w:spacing w:val="-9"/>
          <w:sz w:val="24"/>
          <w:lang w:eastAsia="zh-CN"/>
        </w:rPr>
        <w:t>专业调研分析报告</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附件三：</w:t>
      </w:r>
      <w:r>
        <w:rPr>
          <w:rFonts w:hint="eastAsia"/>
          <w:spacing w:val="-9"/>
          <w:sz w:val="24"/>
          <w:lang w:val="en-US" w:eastAsia="zh-CN"/>
        </w:rPr>
        <w:t>现代物流管理</w:t>
      </w:r>
      <w:r>
        <w:rPr>
          <w:rFonts w:hint="eastAsia"/>
          <w:spacing w:val="-9"/>
          <w:sz w:val="24"/>
          <w:lang w:eastAsia="zh-CN"/>
        </w:rPr>
        <w:t>专业人才培养方案变更审批表</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附件四：菏泽职业学院</w:t>
      </w:r>
      <w:r>
        <w:rPr>
          <w:rFonts w:hint="eastAsia"/>
          <w:spacing w:val="-9"/>
          <w:sz w:val="24"/>
          <w:lang w:val="en-US" w:eastAsia="zh-CN"/>
        </w:rPr>
        <w:t>商贸物流</w:t>
      </w:r>
      <w:r>
        <w:rPr>
          <w:rFonts w:hint="eastAsia"/>
          <w:spacing w:val="-9"/>
          <w:sz w:val="24"/>
          <w:lang w:eastAsia="zh-CN"/>
        </w:rPr>
        <w:t>系学分制评价标准</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附件五：菏泽职业学院人才培养方案审核表</w:t>
      </w: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sectPr>
          <w:headerReference r:id="rId7" w:type="default"/>
          <w:footerReference r:id="rId8" w:type="default"/>
          <w:pgSz w:w="11910" w:h="16840"/>
          <w:pgMar w:top="1440" w:right="1797" w:bottom="1440" w:left="1797" w:header="877" w:footer="995" w:gutter="0"/>
          <w:pgBorders>
            <w:top w:val="none" w:sz="0" w:space="0"/>
            <w:left w:val="none" w:sz="0" w:space="0"/>
            <w:bottom w:val="none" w:sz="0" w:space="0"/>
            <w:right w:val="none" w:sz="0" w:space="0"/>
          </w:pgBorders>
          <w:cols w:space="720" w:num="1"/>
        </w:sectPr>
      </w:pPr>
    </w:p>
    <w:p>
      <w:pPr>
        <w:adjustRightInd w:val="0"/>
        <w:snapToGrid w:val="0"/>
        <w:spacing w:line="360" w:lineRule="auto"/>
        <w:ind w:firstLine="482" w:firstLineChars="200"/>
        <w:outlineLvl w:val="0"/>
        <w:rPr>
          <w:rStyle w:val="21"/>
          <w:rFonts w:hint="eastAsia" w:ascii="黑体" w:hAnsi="黑体" w:eastAsia="黑体" w:cs="黑体"/>
          <w:b/>
          <w:bCs/>
          <w:lang w:eastAsia="zh-CN"/>
        </w:rPr>
      </w:pPr>
      <w:bookmarkStart w:id="45" w:name="_Toc2458"/>
      <w:r>
        <w:rPr>
          <w:rStyle w:val="21"/>
          <w:rFonts w:hint="eastAsia" w:ascii="黑体" w:hAnsi="黑体" w:eastAsia="黑体" w:cs="黑体"/>
          <w:lang w:eastAsia="zh-CN"/>
        </w:rPr>
        <w:t>附件一：</w:t>
      </w:r>
      <w:bookmarkEnd w:id="45"/>
      <w:bookmarkStart w:id="46" w:name="_Toc27068"/>
      <w:r>
        <w:rPr>
          <w:rStyle w:val="21"/>
          <w:rFonts w:hint="eastAsia" w:ascii="黑体" w:hAnsi="黑体" w:eastAsia="黑体" w:cs="黑体"/>
          <w:b/>
          <w:bCs/>
          <w:lang w:eastAsia="zh-CN"/>
        </w:rPr>
        <w:t>专业课程课程标准</w:t>
      </w:r>
      <w:bookmarkEnd w:id="46"/>
    </w:p>
    <w:p>
      <w:pPr>
        <w:ind w:firstLine="482" w:firstLineChars="200"/>
        <w:rPr>
          <w:rStyle w:val="21"/>
          <w:rFonts w:ascii="黑体" w:hAnsi="黑体" w:eastAsia="黑体" w:cs="黑体"/>
          <w:lang w:eastAsia="zh-CN"/>
        </w:rPr>
      </w:pPr>
      <w:bookmarkStart w:id="47" w:name="_Toc6777"/>
      <w:r>
        <w:rPr>
          <w:rStyle w:val="21"/>
          <w:rFonts w:hint="eastAsia" w:ascii="黑体" w:hAnsi="黑体" w:eastAsia="黑体" w:cs="黑体"/>
          <w:lang w:eastAsia="zh-CN"/>
        </w:rPr>
        <w:t>附件二：</w:t>
      </w:r>
      <w:r>
        <w:rPr>
          <w:rStyle w:val="21"/>
          <w:rFonts w:hint="eastAsia" w:ascii="黑体" w:hAnsi="黑体" w:eastAsia="黑体" w:cs="黑体"/>
          <w:lang w:val="en-US" w:eastAsia="zh-CN"/>
        </w:rPr>
        <w:t>现代物流管理</w:t>
      </w:r>
      <w:r>
        <w:rPr>
          <w:rStyle w:val="21"/>
          <w:rFonts w:hint="eastAsia" w:ascii="黑体" w:hAnsi="黑体" w:eastAsia="黑体" w:cs="黑体"/>
          <w:lang w:eastAsia="zh-CN"/>
        </w:rPr>
        <w:t>专业调研分析报告</w:t>
      </w:r>
      <w:bookmarkEnd w:id="47"/>
    </w:p>
    <w:p>
      <w:pPr>
        <w:spacing w:before="198"/>
        <w:ind w:left="482" w:right="482"/>
        <w:jc w:val="center"/>
        <w:rPr>
          <w:rFonts w:hint="eastAsia" w:ascii="宋体" w:hAnsi="宋体" w:eastAsia="宋体" w:cs="宋体"/>
          <w:b/>
          <w:sz w:val="36"/>
          <w:szCs w:val="36"/>
        </w:rPr>
      </w:pPr>
      <w:r>
        <w:rPr>
          <w:rFonts w:hint="eastAsia"/>
          <w:b/>
          <w:sz w:val="36"/>
          <w:szCs w:val="36"/>
          <w:lang w:val="en-US" w:eastAsia="zh-CN"/>
        </w:rPr>
        <w:t>现代物流管理</w:t>
      </w:r>
      <w:r>
        <w:rPr>
          <w:b/>
          <w:sz w:val="36"/>
          <w:szCs w:val="36"/>
          <w:lang w:eastAsia="zh-CN"/>
        </w:rPr>
        <w:t>专业调研分析报告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72" w:firstLineChars="196"/>
        <w:jc w:val="both"/>
        <w:textAlignment w:val="auto"/>
        <w:rPr>
          <w:rFonts w:hint="eastAsia" w:ascii="宋体" w:hAnsi="宋体" w:eastAsia="宋体" w:cs="宋体"/>
          <w:b/>
          <w:sz w:val="24"/>
          <w:szCs w:val="24"/>
        </w:rPr>
      </w:pPr>
      <w:r>
        <w:rPr>
          <w:rFonts w:hint="eastAsia" w:ascii="宋体" w:hAnsi="宋体" w:eastAsia="宋体" w:cs="宋体"/>
          <w:b/>
          <w:sz w:val="24"/>
          <w:szCs w:val="24"/>
        </w:rPr>
        <w:t>一．调研的基本要求</w:t>
      </w:r>
    </w:p>
    <w:p>
      <w:pPr>
        <w:keepNext w:val="0"/>
        <w:keepLines w:val="0"/>
        <w:pageBreakBefore w:val="0"/>
        <w:widowControl w:val="0"/>
        <w:kinsoku/>
        <w:wordWrap/>
        <w:overflowPunct/>
        <w:topLinePunct w:val="0"/>
        <w:autoSpaceDE w:val="0"/>
        <w:autoSpaceDN w:val="0"/>
        <w:bidi w:val="0"/>
        <w:spacing w:line="360" w:lineRule="auto"/>
        <w:ind w:left="0" w:firstLine="482"/>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（一）总体思路</w:t>
      </w:r>
    </w:p>
    <w:p>
      <w:pPr>
        <w:keepNext w:val="0"/>
        <w:keepLines w:val="0"/>
        <w:pageBreakBefore w:val="0"/>
        <w:widowControl w:val="0"/>
        <w:kinsoku/>
        <w:wordWrap/>
        <w:overflowPunct/>
        <w:topLinePunct w:val="0"/>
        <w:autoSpaceDE w:val="0"/>
        <w:autoSpaceDN w:val="0"/>
        <w:bidi w:val="0"/>
        <w:spacing w:line="360" w:lineRule="auto"/>
        <w:ind w:left="0" w:firstLine="482"/>
        <w:jc w:val="both"/>
        <w:textAlignment w:val="auto"/>
        <w:rPr>
          <w:rFonts w:hint="eastAsia" w:ascii="宋体" w:hAnsi="宋体" w:eastAsia="宋体" w:cs="宋体"/>
          <w:b/>
          <w:bCs/>
          <w:sz w:val="24"/>
          <w:szCs w:val="24"/>
        </w:rPr>
      </w:pPr>
      <w:r>
        <w:rPr>
          <w:rFonts w:hint="eastAsia" w:ascii="宋体" w:hAnsi="宋体" w:eastAsia="宋体" w:cs="宋体"/>
          <w:sz w:val="24"/>
          <w:szCs w:val="24"/>
        </w:rPr>
        <w:t>以提高质量为核心，根据企业岗位要求，结合毕业生就业状况及职业发展需求，适应行业企业对专业知识、能力、素质要求，明确专业教学改革的思路和措施</w:t>
      </w:r>
      <w:r>
        <w:rPr>
          <w:rFonts w:hint="eastAsia" w:ascii="宋体" w:hAnsi="宋体" w:eastAsia="宋体" w:cs="宋体"/>
          <w:sz w:val="24"/>
          <w:szCs w:val="24"/>
          <w:lang w:eastAsia="zh-CN"/>
        </w:rPr>
        <w:t>，</w:t>
      </w:r>
      <w:r>
        <w:rPr>
          <w:rFonts w:hint="eastAsia" w:ascii="宋体" w:hAnsi="宋体" w:eastAsia="宋体" w:cs="宋体"/>
          <w:sz w:val="24"/>
          <w:szCs w:val="24"/>
        </w:rPr>
        <w:t>为人才培养方案制定提供依据。</w:t>
      </w:r>
    </w:p>
    <w:p>
      <w:pPr>
        <w:keepNext w:val="0"/>
        <w:keepLines w:val="0"/>
        <w:pageBreakBefore w:val="0"/>
        <w:widowControl w:val="0"/>
        <w:kinsoku/>
        <w:wordWrap/>
        <w:overflowPunct/>
        <w:topLinePunct w:val="0"/>
        <w:autoSpaceDE w:val="0"/>
        <w:autoSpaceDN w:val="0"/>
        <w:bidi w:val="0"/>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（二）调研要求</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调研内容：</w:t>
      </w:r>
      <w:r>
        <w:rPr>
          <w:rFonts w:hint="eastAsia" w:ascii="宋体" w:hAnsi="宋体" w:eastAsia="宋体" w:cs="宋体"/>
          <w:sz w:val="24"/>
          <w:szCs w:val="24"/>
        </w:rPr>
        <w:t>区域行业发展状况，重点是根据国家、省、市及行业改革与发展“</w:t>
      </w:r>
      <w:r>
        <w:rPr>
          <w:rFonts w:hint="eastAsia" w:ascii="宋体" w:hAnsi="宋体" w:eastAsia="宋体" w:cs="宋体"/>
          <w:sz w:val="24"/>
          <w:szCs w:val="24"/>
          <w:lang w:val="en-US" w:eastAsia="zh-CN"/>
        </w:rPr>
        <w:t>十三</w:t>
      </w:r>
      <w:r>
        <w:rPr>
          <w:rFonts w:hint="eastAsia" w:ascii="宋体" w:hAnsi="宋体" w:eastAsia="宋体" w:cs="宋体"/>
          <w:sz w:val="24"/>
          <w:szCs w:val="24"/>
        </w:rPr>
        <w:t>五”规划，分析确定对接行业企业发展动态与趋势。企业人才结构现状与人才需求状况、职业岗位对从业人员的知识及能力要求、全省同类专业分布情况、毕业生就业状况及就业岗位发展调查分析、毕业生对培养过程的意见和要求、用人单位对毕业生质量反馈</w:t>
      </w:r>
    </w:p>
    <w:p>
      <w:pPr>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调研方式：调查问卷、个别面谈、电话访谈、专家座谈、文献检索、网上查阅等。</w:t>
      </w:r>
    </w:p>
    <w:p>
      <w:pPr>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调研范围：物流企业、商贸流通企业等。</w:t>
      </w:r>
    </w:p>
    <w:p>
      <w:pPr>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bCs/>
          <w:sz w:val="24"/>
          <w:szCs w:val="24"/>
        </w:rPr>
        <w:t>调研对象：企业员工、部门主管、经理、总经理、人力资源管理部门的相关人员、行业专家等。</w:t>
      </w:r>
    </w:p>
    <w:p>
      <w:pPr>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调研过程：信息采集—信息归纳—信息分析—改革建议—专题论证—信息补充—改革建议定稿。</w:t>
      </w:r>
    </w:p>
    <w:p>
      <w:pPr>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本次调研问卷调研法中设计了两类调研问卷：学校卷、用人单位卷。</w:t>
      </w:r>
    </w:p>
    <w:p>
      <w:pPr>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bCs/>
          <w:sz w:val="24"/>
          <w:szCs w:val="24"/>
        </w:rPr>
        <w:t>通过问卷调查我们获得了</w:t>
      </w:r>
      <w:r>
        <w:rPr>
          <w:rFonts w:hint="eastAsia" w:ascii="宋体" w:hAnsi="宋体" w:eastAsia="宋体" w:cs="宋体"/>
          <w:sz w:val="24"/>
          <w:szCs w:val="24"/>
        </w:rPr>
        <w:t>物流</w:t>
      </w:r>
      <w:r>
        <w:rPr>
          <w:rFonts w:hint="eastAsia" w:ascii="宋体" w:hAnsi="宋体" w:eastAsia="宋体" w:cs="宋体"/>
          <w:bCs/>
          <w:sz w:val="24"/>
          <w:szCs w:val="24"/>
        </w:rPr>
        <w:t>专业对应的行业、用人单位的总体情况，对于一些问卷没有调研到或无法调研到的信息我们采用了个别面谈、电话访谈、专家座谈等作为补充。通过调研使我们较全面、准确地把握了目前高等职业教育</w:t>
      </w:r>
      <w:r>
        <w:rPr>
          <w:rFonts w:hint="eastAsia" w:ascii="宋体" w:hAnsi="宋体" w:eastAsia="宋体" w:cs="宋体"/>
          <w:sz w:val="24"/>
          <w:szCs w:val="24"/>
        </w:rPr>
        <w:t>物流</w:t>
      </w:r>
      <w:r>
        <w:rPr>
          <w:rFonts w:hint="eastAsia" w:ascii="宋体" w:hAnsi="宋体" w:eastAsia="宋体" w:cs="宋体"/>
          <w:bCs/>
          <w:sz w:val="24"/>
          <w:szCs w:val="24"/>
        </w:rPr>
        <w:t>专业对应的行业、用人单位的人才需求，以下是对调研结果的分析。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63" w:firstLineChars="192"/>
        <w:jc w:val="both"/>
        <w:textAlignment w:val="auto"/>
        <w:rPr>
          <w:rFonts w:hint="eastAsia" w:ascii="宋体" w:hAnsi="宋体" w:eastAsia="宋体" w:cs="宋体"/>
          <w:b/>
          <w:sz w:val="24"/>
          <w:szCs w:val="24"/>
        </w:rPr>
      </w:pPr>
      <w:r>
        <w:rPr>
          <w:rFonts w:hint="eastAsia" w:ascii="宋体" w:hAnsi="宋体" w:eastAsia="宋体" w:cs="宋体"/>
          <w:b/>
          <w:sz w:val="24"/>
          <w:szCs w:val="24"/>
        </w:rPr>
        <w:t>二．物流专业人才需求调研</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63" w:firstLineChars="192"/>
        <w:jc w:val="both"/>
        <w:textAlignment w:val="auto"/>
        <w:rPr>
          <w:rFonts w:hint="eastAsia" w:ascii="宋体" w:hAnsi="宋体" w:eastAsia="宋体" w:cs="宋体"/>
          <w:b/>
          <w:sz w:val="24"/>
          <w:szCs w:val="24"/>
        </w:rPr>
      </w:pPr>
      <w:r>
        <w:rPr>
          <w:rFonts w:hint="eastAsia" w:ascii="宋体" w:hAnsi="宋体" w:eastAsia="宋体" w:cs="宋体"/>
          <w:b/>
          <w:sz w:val="24"/>
          <w:szCs w:val="24"/>
        </w:rPr>
        <w:t>（一）人才需求的宏观背景</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重点发展生产性服务业，积极发展消费性服务业，加快构筑结构合理、功能完备、特色鲜明的现代服务业体系。在这个服务体系中现代物流业的发展被列在首位</w:t>
      </w:r>
      <w:r>
        <w:rPr>
          <w:rFonts w:hint="eastAsia" w:ascii="宋体" w:hAnsi="宋体" w:eastAsia="宋体" w:cs="宋体"/>
          <w:sz w:val="24"/>
          <w:szCs w:val="24"/>
          <w:lang w:eastAsia="zh-CN"/>
        </w:rPr>
        <w:t>，</w:t>
      </w:r>
      <w:r>
        <w:rPr>
          <w:rFonts w:hint="eastAsia" w:ascii="宋体" w:hAnsi="宋体" w:eastAsia="宋体" w:cs="宋体"/>
          <w:sz w:val="24"/>
          <w:szCs w:val="24"/>
        </w:rPr>
        <w:t>规划指出：现代物流业将依托交通枢纽、中心城市和重要货物集散地，完善物流基础设施，建设一批特色物流园区和集散、存储、加工配送中心。积极推广现代</w:t>
      </w:r>
      <w:r>
        <w:rPr>
          <w:rFonts w:hint="eastAsia" w:ascii="宋体" w:hAnsi="宋体" w:eastAsia="宋体" w:cs="宋体"/>
          <w:sz w:val="24"/>
          <w:szCs w:val="24"/>
          <w:lang w:eastAsia="zh-CN"/>
        </w:rPr>
        <w:t>现代物流管理</w:t>
      </w:r>
      <w:r>
        <w:rPr>
          <w:rFonts w:hint="eastAsia" w:ascii="宋体" w:hAnsi="宋体" w:eastAsia="宋体" w:cs="宋体"/>
          <w:sz w:val="24"/>
          <w:szCs w:val="24"/>
        </w:rPr>
        <w:t>技术，建立和完善物流网络和信息平台，提高物流信息化和标准化水平，引导物流企业向专业化、规范化和国际化发展。大力发展第三方物流。</w:t>
      </w:r>
    </w:p>
    <w:p>
      <w:pPr>
        <w:keepNext w:val="0"/>
        <w:keepLines w:val="0"/>
        <w:pageBreakBefore w:val="0"/>
        <w:widowControl w:val="0"/>
        <w:kinsoku/>
        <w:wordWrap/>
        <w:overflowPunct/>
        <w:topLinePunct w:val="0"/>
        <w:autoSpaceDE w:val="0"/>
        <w:autoSpaceDN w:val="0"/>
        <w:bidi w:val="0"/>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（二）行业发展现状与趋势</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调研，我们认为过去的一年是物流业稳定、快速发展的一年，现代物流产业已在我市国家规划层面加以确立，物流产业逐渐向物流园区集中；物流产业日益细分的行业特征更加明显，在仓储、运输服务等基础性物流服务行业继续加快发展的同时</w:t>
      </w:r>
      <w:r>
        <w:rPr>
          <w:rFonts w:hint="eastAsia" w:ascii="宋体" w:hAnsi="宋体" w:eastAsia="宋体" w:cs="宋体"/>
          <w:sz w:val="24"/>
          <w:szCs w:val="24"/>
          <w:lang w:eastAsia="zh-CN"/>
        </w:rPr>
        <w:t>，</w:t>
      </w:r>
      <w:r>
        <w:rPr>
          <w:rFonts w:hint="eastAsia" w:ascii="宋体" w:hAnsi="宋体" w:eastAsia="宋体" w:cs="宋体"/>
          <w:sz w:val="24"/>
          <w:szCs w:val="24"/>
        </w:rPr>
        <w:t>物流服务方式日趋多样化，以现代信息技术和供应链管理为基础的物流一体化服务已在物流市场中成为迫切需求；物流现代化水平进一步提升，物流设施与设备的现代化步伐不断加快，物流企业经营管理水平不断提高。</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1．物流行业从业人员基本情况</w:t>
      </w:r>
    </w:p>
    <w:p>
      <w:pPr>
        <w:keepNext w:val="0"/>
        <w:keepLines w:val="0"/>
        <w:pageBreakBefore w:val="0"/>
        <w:widowControl w:val="0"/>
        <w:kinsoku/>
        <w:wordWrap/>
        <w:overflowPunct/>
        <w:topLinePunct w:val="0"/>
        <w:autoSpaceDE w:val="0"/>
        <w:autoSpaceDN w:val="0"/>
        <w:bidi w:val="0"/>
        <w:spacing w:line="360" w:lineRule="auto"/>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（1）物流行业从业人员基本状况</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有关部门提供的资料显示，尽管物流业有了较快发展，但与之不配套的是物流专业人才极度缺乏，成为本市物流发展的瓶颈，严重制约了现代物流发展的步伐。调查显示，企业对于物流专业人才的需求非常迫切，有近90%的企业表示需要甚至迫切需要物流人才。需求最为迫切的是中高级</w:t>
      </w:r>
      <w:r>
        <w:rPr>
          <w:rFonts w:hint="eastAsia" w:ascii="宋体" w:hAnsi="宋体" w:eastAsia="宋体" w:cs="宋体"/>
          <w:sz w:val="24"/>
          <w:szCs w:val="24"/>
          <w:lang w:eastAsia="zh-CN"/>
        </w:rPr>
        <w:t>现代物流管理</w:t>
      </w:r>
      <w:r>
        <w:rPr>
          <w:rFonts w:hint="eastAsia" w:ascii="宋体" w:hAnsi="宋体" w:eastAsia="宋体" w:cs="宋体"/>
          <w:sz w:val="24"/>
          <w:szCs w:val="24"/>
        </w:rPr>
        <w:t>人才，选择比例达到了97%，而需要基层物流操作人员的物流企业仅占6.06%。这说明随着滨州市物流业的发展，企业越来越意识到中高级</w:t>
      </w:r>
      <w:r>
        <w:rPr>
          <w:rFonts w:hint="eastAsia" w:ascii="宋体" w:hAnsi="宋体" w:eastAsia="宋体" w:cs="宋体"/>
          <w:sz w:val="24"/>
          <w:szCs w:val="24"/>
          <w:lang w:eastAsia="zh-CN"/>
        </w:rPr>
        <w:t>现代物流管理</w:t>
      </w:r>
      <w:r>
        <w:rPr>
          <w:rFonts w:hint="eastAsia" w:ascii="宋体" w:hAnsi="宋体" w:eastAsia="宋体" w:cs="宋体"/>
          <w:sz w:val="24"/>
          <w:szCs w:val="24"/>
        </w:rPr>
        <w:t>人才对自身发展的重要作用。</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(2)物流从业人员结构统计分析</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物流从业人员是指该单位从事物流活动各项工作的所有人员，包括管理人员、技术人员和各岗位的工人，以及临时聘用的人员。</w:t>
      </w:r>
    </w:p>
    <w:p>
      <w:pPr>
        <w:keepNext w:val="0"/>
        <w:keepLines w:val="0"/>
        <w:pageBreakBefore w:val="0"/>
        <w:widowControl w:val="0"/>
        <w:numPr>
          <w:ilvl w:val="0"/>
          <w:numId w:val="7"/>
        </w:numPr>
        <w:kinsoku/>
        <w:wordWrap/>
        <w:overflowPunct/>
        <w:topLinePunct w:val="0"/>
        <w:autoSpaceDE w:val="0"/>
        <w:autoSpaceDN w:val="0"/>
        <w:bidi w:val="0"/>
        <w:spacing w:line="360" w:lineRule="auto"/>
        <w:ind w:left="0" w:firstLine="357"/>
        <w:jc w:val="both"/>
        <w:textAlignment w:val="auto"/>
        <w:rPr>
          <w:rFonts w:hint="eastAsia" w:ascii="宋体" w:hAnsi="宋体" w:eastAsia="宋体" w:cs="宋体"/>
          <w:sz w:val="24"/>
          <w:szCs w:val="24"/>
        </w:rPr>
      </w:pPr>
      <w:r>
        <w:rPr>
          <w:rFonts w:hint="eastAsia" w:ascii="宋体" w:hAnsi="宋体" w:eastAsia="宋体" w:cs="宋体"/>
          <w:sz w:val="24"/>
          <w:szCs w:val="24"/>
        </w:rPr>
        <w:t>学历结构：在物流人才中，大专学历占到了一半以上为58.26%，本科学历占39.46%，研究生学历占2.28%。</w:t>
      </w:r>
    </w:p>
    <w:p>
      <w:pPr>
        <w:keepNext w:val="0"/>
        <w:keepLines w:val="0"/>
        <w:pageBreakBefore w:val="0"/>
        <w:widowControl w:val="0"/>
        <w:numPr>
          <w:ilvl w:val="0"/>
          <w:numId w:val="7"/>
        </w:numPr>
        <w:kinsoku/>
        <w:wordWrap/>
        <w:overflowPunct/>
        <w:topLinePunct w:val="0"/>
        <w:autoSpaceDE w:val="0"/>
        <w:autoSpaceDN w:val="0"/>
        <w:bidi w:val="0"/>
        <w:spacing w:line="360" w:lineRule="auto"/>
        <w:ind w:left="0" w:firstLine="357"/>
        <w:jc w:val="both"/>
        <w:textAlignment w:val="auto"/>
        <w:rPr>
          <w:rFonts w:hint="eastAsia" w:ascii="宋体" w:hAnsi="宋体" w:eastAsia="宋体" w:cs="宋体"/>
          <w:sz w:val="24"/>
          <w:szCs w:val="24"/>
        </w:rPr>
      </w:pPr>
      <w:r>
        <w:rPr>
          <w:rFonts w:hint="eastAsia" w:ascii="宋体" w:hAnsi="宋体" w:eastAsia="宋体" w:cs="宋体"/>
          <w:sz w:val="24"/>
          <w:szCs w:val="24"/>
        </w:rPr>
        <w:t>专业结构：在我市物流从业人员中，其专业为非物流专业的占据了最大的比例，为39.76%；企业管理次之，占35.24%；其它依次为国际贸易、供应链与</w:t>
      </w:r>
      <w:r>
        <w:rPr>
          <w:rFonts w:hint="eastAsia" w:ascii="宋体" w:hAnsi="宋体" w:eastAsia="宋体" w:cs="宋体"/>
          <w:sz w:val="24"/>
          <w:szCs w:val="24"/>
          <w:lang w:eastAsia="zh-CN"/>
        </w:rPr>
        <w:t>现代物流管理</w:t>
      </w:r>
      <w:r>
        <w:rPr>
          <w:rFonts w:hint="eastAsia" w:ascii="宋体" w:hAnsi="宋体" w:eastAsia="宋体" w:cs="宋体"/>
          <w:sz w:val="24"/>
          <w:szCs w:val="24"/>
        </w:rPr>
        <w:t>和物流工程。</w:t>
      </w:r>
    </w:p>
    <w:p>
      <w:pPr>
        <w:keepNext w:val="0"/>
        <w:keepLines w:val="0"/>
        <w:pageBreakBefore w:val="0"/>
        <w:widowControl w:val="0"/>
        <w:numPr>
          <w:ilvl w:val="0"/>
          <w:numId w:val="7"/>
        </w:numPr>
        <w:kinsoku/>
        <w:wordWrap/>
        <w:overflowPunct/>
        <w:topLinePunct w:val="0"/>
        <w:autoSpaceDE w:val="0"/>
        <w:autoSpaceDN w:val="0"/>
        <w:bidi w:val="0"/>
        <w:spacing w:line="360" w:lineRule="auto"/>
        <w:ind w:left="0" w:firstLine="357"/>
        <w:jc w:val="both"/>
        <w:textAlignment w:val="auto"/>
        <w:rPr>
          <w:rFonts w:hint="eastAsia" w:ascii="宋体" w:hAnsi="宋体" w:eastAsia="宋体" w:cs="宋体"/>
          <w:sz w:val="24"/>
          <w:szCs w:val="24"/>
        </w:rPr>
      </w:pPr>
      <w:r>
        <w:rPr>
          <w:rFonts w:hint="eastAsia" w:ascii="宋体" w:hAnsi="宋体" w:eastAsia="宋体" w:cs="宋体"/>
          <w:sz w:val="24"/>
          <w:szCs w:val="24"/>
        </w:rPr>
        <w:t>年龄结构：在我市物流从业人员中，30岁以下占37.04%，30-39岁占24.65%，40-49岁占21.3%，50岁及以上占17.03%。</w:t>
      </w:r>
    </w:p>
    <w:p>
      <w:pPr>
        <w:keepNext w:val="0"/>
        <w:keepLines w:val="0"/>
        <w:pageBreakBefore w:val="0"/>
        <w:widowControl w:val="0"/>
        <w:numPr>
          <w:ilvl w:val="0"/>
          <w:numId w:val="7"/>
        </w:numPr>
        <w:kinsoku/>
        <w:wordWrap/>
        <w:overflowPunct/>
        <w:topLinePunct w:val="0"/>
        <w:autoSpaceDE w:val="0"/>
        <w:autoSpaceDN w:val="0"/>
        <w:bidi w:val="0"/>
        <w:spacing w:line="360" w:lineRule="auto"/>
        <w:ind w:left="0" w:firstLine="357"/>
        <w:jc w:val="both"/>
        <w:textAlignment w:val="auto"/>
        <w:rPr>
          <w:rFonts w:hint="eastAsia" w:ascii="宋体" w:hAnsi="宋体" w:eastAsia="宋体" w:cs="宋体"/>
          <w:sz w:val="24"/>
          <w:szCs w:val="24"/>
        </w:rPr>
      </w:pPr>
      <w:r>
        <w:rPr>
          <w:rFonts w:hint="eastAsia" w:ascii="宋体" w:hAnsi="宋体" w:eastAsia="宋体" w:cs="宋体"/>
          <w:sz w:val="24"/>
          <w:szCs w:val="24"/>
        </w:rPr>
        <w:t>性别结构：在我市物流从业人员中，男性占78.5%，女性占21.5%。</w:t>
      </w:r>
    </w:p>
    <w:p>
      <w:pPr>
        <w:keepNext w:val="0"/>
        <w:keepLines w:val="0"/>
        <w:pageBreakBefore w:val="0"/>
        <w:widowControl w:val="0"/>
        <w:numPr>
          <w:ilvl w:val="0"/>
          <w:numId w:val="7"/>
        </w:numPr>
        <w:kinsoku/>
        <w:wordWrap/>
        <w:overflowPunct/>
        <w:topLinePunct w:val="0"/>
        <w:autoSpaceDE w:val="0"/>
        <w:autoSpaceDN w:val="0"/>
        <w:bidi w:val="0"/>
        <w:spacing w:line="360" w:lineRule="auto"/>
        <w:ind w:left="0" w:firstLine="357"/>
        <w:jc w:val="both"/>
        <w:textAlignment w:val="auto"/>
        <w:rPr>
          <w:rFonts w:hint="eastAsia" w:ascii="宋体" w:hAnsi="宋体" w:eastAsia="宋体" w:cs="宋体"/>
          <w:sz w:val="24"/>
          <w:szCs w:val="24"/>
        </w:rPr>
      </w:pPr>
      <w:r>
        <w:rPr>
          <w:rFonts w:hint="eastAsia" w:ascii="宋体" w:hAnsi="宋体" w:eastAsia="宋体" w:cs="宋体"/>
          <w:sz w:val="24"/>
          <w:szCs w:val="24"/>
        </w:rPr>
        <w:t>从业时间：在我市物流从业人员中，平均从业时间约为39个月，见下表</w:t>
      </w:r>
    </w:p>
    <w:tbl>
      <w:tblPr>
        <w:tblStyle w:val="14"/>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12"/>
        <w:gridCol w:w="1512"/>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从业时间</w:t>
            </w:r>
          </w:p>
        </w:tc>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0-6个月</w:t>
            </w:r>
          </w:p>
        </w:tc>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6-12个月</w:t>
            </w:r>
          </w:p>
        </w:tc>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12-36个月</w:t>
            </w:r>
          </w:p>
        </w:tc>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36-60个月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所占比例</w:t>
            </w:r>
          </w:p>
        </w:tc>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9.30%</w:t>
            </w:r>
          </w:p>
        </w:tc>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23.40%</w:t>
            </w:r>
          </w:p>
        </w:tc>
        <w:tc>
          <w:tcPr>
            <w:tcW w:w="1512" w:type="dxa"/>
            <w:noWrap/>
            <w:vAlign w:val="center"/>
          </w:tcPr>
          <w:p>
            <w:pPr>
              <w:keepNext w:val="0"/>
              <w:keepLines w:val="0"/>
              <w:pageBreakBefore w:val="0"/>
              <w:widowControl w:val="0"/>
              <w:kinsoku/>
              <w:wordWrap/>
              <w:overflowPunct/>
              <w:topLinePunct w:val="0"/>
              <w:autoSpaceDE w:val="0"/>
              <w:autoSpaceDN w:val="0"/>
              <w:bidi w:val="0"/>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53.30%</w:t>
            </w:r>
          </w:p>
        </w:tc>
      </w:tr>
    </w:tbl>
    <w:p>
      <w:pPr>
        <w:keepNext w:val="0"/>
        <w:keepLines w:val="0"/>
        <w:pageBreakBefore w:val="0"/>
        <w:widowControl w:val="0"/>
        <w:kinsoku/>
        <w:wordWrap/>
        <w:overflowPunct/>
        <w:topLinePunct w:val="0"/>
        <w:autoSpaceDE w:val="0"/>
        <w:autoSpaceDN w:val="0"/>
        <w:bidi w:val="0"/>
        <w:spacing w:line="360" w:lineRule="auto"/>
        <w:ind w:left="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行业结构：在我市物流从业人员中，从事批发业的比重最大，其次为零售业。</w:t>
      </w:r>
    </w:p>
    <w:p>
      <w:pPr>
        <w:keepNext w:val="0"/>
        <w:keepLines w:val="0"/>
        <w:pageBreakBefore w:val="0"/>
        <w:widowControl w:val="0"/>
        <w:kinsoku/>
        <w:wordWrap/>
        <w:overflowPunct/>
        <w:topLinePunct w:val="0"/>
        <w:autoSpaceDE w:val="0"/>
        <w:autoSpaceDN w:val="0"/>
        <w:bidi w:val="0"/>
        <w:spacing w:line="360" w:lineRule="auto"/>
        <w:ind w:left="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F、薪资结构：500-1000元：库工，低级发货员，一般3PL实习生等；1000-2000元：低级计划科文员，统计，制单，运输计划人员，现场操作人员，销售人员底薪，国内企业物流部实习生，3PL实习生等。</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从业目的：超过40%的人选择物流行业的工作具有挑战性；约20%的人看重公司的发展潜力；14%的人是为了谋求更好的发展；而关于上班的便利性、薪金水平的吸引、雇主公司的美誉度的选择比例均为7%。</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G、职业培训情况：对于目前行业内知名的物流师、ILT、PMAC、APILS等培训，几乎没有人了解及接受过此类培训，较为普遍的是接受企业内部培训或听报告、讲座。</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H、工作职能结构：工作职能分布情况略微复杂一些，由于物流行业人员大多数身兼数职，故百分比总数不是100%，。</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我市物流从业人员中，从业者普遍看好物流职业的发展前景，并成为职业选择的最重要的因素。但是，遗憾的是目前我市的知名物流企业较少，雇用能力有限，所以从业者大部分集中在国有改制的物流企业及个体经营的小型专业物流服务企业，这一点是值得关注的。</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从业者的受教育水平不低，但是缺乏专业人才，职业教育迫在眉睫。目前，社会物流的飞速发展与物流人才及教育资源的相对不足形成了暂时性的供需矛盾。因此，我市的高等院校要尽快形成建立在一定理论体系之上的物流学科及物流专业体系，加强学术交流，开设物流讲座，一方面利用自身教育资源，培养该专业的基础人才；另一方面培训物流行业的相关从业人员，进行物流理念的传播，加强物流的职业认证工作，在教学过程中将物流理论联系实际，将成功的实践经验编成教材，实现“教学互长”，达到学科理论建设的良性循环，实现企业运作与高校科研的互动，推动高校物流研究工作，提高我市物流教育水平。</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部分的物流从业者工作涵盖的范围比较大，有的甚至是身兼四职，其周工作时间也比较长；此次调查还显示90%以上的企业已建立或正在着手建立企业的网站，因此对物流从业人员综合知识及素质的要求将进一步提高。</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3．物流专业人才招聘渠道分析</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随着我市物流产业的蓬勃发展，物流人才的需求急剧扩大，现有资源难以满足物流产业发展的需要。</w:t>
      </w:r>
    </w:p>
    <w:p>
      <w:pPr>
        <w:keepNext w:val="0"/>
        <w:keepLines w:val="0"/>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（1）物流专业人才需求分析</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物流岗位需求状况</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从我市物流人才岗位需求来看，物流企业对各个岗位的需求较为平均。比较突出的是客户服务人员，这主要是因为我市物流企业增长迅速，而物流量的增长则之后与物流企业的增长，从而形成争抢市场份额的状况。此外，传统的物流岗位依然保持平稳的态势，如物流公司岗位中的保管员、单证员、仓储管理、采购员、理货员。</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物流岗位学历要求</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从我市物流岗位学历需求看，物流企业对大专学历的需求最高。造成这种局面的原因，从物流企业来看，每一家企业都希望找到有实际工作经验的人来担任</w:t>
      </w:r>
      <w:r>
        <w:rPr>
          <w:rFonts w:hint="eastAsia" w:ascii="宋体" w:hAnsi="宋体" w:eastAsia="宋体" w:cs="宋体"/>
          <w:sz w:val="24"/>
          <w:szCs w:val="24"/>
          <w:lang w:eastAsia="zh-CN"/>
        </w:rPr>
        <w:t>现代物流管理</w:t>
      </w:r>
      <w:r>
        <w:rPr>
          <w:rFonts w:hint="eastAsia" w:ascii="宋体" w:hAnsi="宋体" w:eastAsia="宋体" w:cs="宋体"/>
          <w:sz w:val="24"/>
          <w:szCs w:val="24"/>
        </w:rPr>
        <w:t>人员，要求他们不仅能够在全局角度上驾驭物流，还要具备实际的物流经营与物流设备操作能力。而物流专业的本科以上毕业生或者接受简单物流培训的人员大多是空有理论，远远达不到企业的要求，而高职院校毕业的专科学生则正好填补了这一空白。</w:t>
      </w:r>
    </w:p>
    <w:p>
      <w:pPr>
        <w:keepNext w:val="0"/>
        <w:keepLines w:val="0"/>
        <w:pageBreakBefore w:val="0"/>
        <w:widowControl w:val="0"/>
        <w:kinsoku/>
        <w:wordWrap/>
        <w:overflowPunct/>
        <w:topLinePunct w:val="0"/>
        <w:autoSpaceDE w:val="0"/>
        <w:autoSpaceDN w:val="0"/>
        <w:bidi w:val="0"/>
        <w:spacing w:line="360" w:lineRule="auto"/>
        <w:ind w:left="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（2）物流专业人才招聘渠道分析</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我市的物流企业员工招聘主要有以下几个渠道：</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校园定向招聘</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般而言，校园招聘的计划性比较强，招聘新人的数量、专业往往是结合企业的年度人力资源规划或者阶段性的人才发展战略要求而定。因此，进入校园招聘的通常是大中型企业，他们通常会在几个大类专业中挑选综合素质高的大学生。校园招聘能够极大的提高公司在高校圈的知名度，为公司储备人才提供人才库，为建立良好的校企合作关系奠定基础，而且校园招聘的费用低廉，对知名企业而言有时甚至是免费。</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媒体广告招聘</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由于报纸仍然是普通大众，包括求职者了解信息的重要平台，所以这种形式的广告在当地的覆盖面比较广，目标受众接受的概率非常高，不仅可以提升企业在当地的知名度，而且可以有效宣传公司的业务，又一举多得的功效。拖长，物流公司采用这种方式招聘有实际工作经验的物流专业人员。</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网络招聘</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伴随网络日益普及的趋势下产生的一种新的媒体招聘形式，招聘信息可以丁是丁向投放，发布后可以管理，其费用相对比较低廉，理论上可以覆盖到全球。通过在知名的人才网上发布招聘的信息，如www.51job.com、各地人才市场网站、公司的网站，可以快捷、海量的接收到求职者的信息，而且各网站提供的格式建立和格式邮件可以降低简历筛选的难度，加快处理简历的速度。这种形势目前呈增长的态势。</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现场招聘会</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这是传统的人才招聘方式。这种方式可以直观展示企业实力和风采，总体上效率较高，可以快速淘汰不合格人员，控制应聘者的数量和质量。目前，这种方式通常用于招聘一般物流操作人才。</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高职物流专业现状调研</w:t>
      </w:r>
    </w:p>
    <w:p>
      <w:pPr>
        <w:keepNext w:val="0"/>
        <w:keepLines w:val="0"/>
        <w:pageBreakBefore w:val="0"/>
        <w:widowControl w:val="0"/>
        <w:kinsoku/>
        <w:wordWrap/>
        <w:overflowPunct/>
        <w:topLinePunct w:val="0"/>
        <w:autoSpaceDE w:val="0"/>
        <w:autoSpaceDN w:val="0"/>
        <w:bidi w:val="0"/>
        <w:spacing w:line="360" w:lineRule="auto"/>
        <w:ind w:left="0" w:firstLine="470" w:firstLineChars="196"/>
        <w:jc w:val="both"/>
        <w:textAlignment w:val="auto"/>
        <w:rPr>
          <w:rFonts w:hint="eastAsia" w:ascii="宋体" w:hAnsi="宋体" w:eastAsia="宋体" w:cs="宋体"/>
          <w:b/>
          <w:sz w:val="24"/>
          <w:szCs w:val="24"/>
        </w:rPr>
      </w:pPr>
      <w:r>
        <w:rPr>
          <w:rFonts w:hint="eastAsia" w:ascii="宋体" w:hAnsi="宋体" w:eastAsia="宋体" w:cs="宋体"/>
          <w:sz w:val="24"/>
          <w:szCs w:val="24"/>
        </w:rPr>
        <w:t>1．山东省高职物流专业点分布情况</w:t>
      </w:r>
    </w:p>
    <w:p>
      <w:pPr>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山东省开设</w:t>
      </w:r>
      <w:r>
        <w:rPr>
          <w:rFonts w:hint="eastAsia" w:ascii="宋体" w:hAnsi="宋体" w:eastAsia="宋体" w:cs="宋体"/>
          <w:sz w:val="24"/>
          <w:szCs w:val="24"/>
          <w:lang w:eastAsia="zh-CN"/>
        </w:rPr>
        <w:t>现代物流管理</w:t>
      </w:r>
      <w:r>
        <w:rPr>
          <w:rFonts w:hint="eastAsia" w:ascii="宋体" w:hAnsi="宋体" w:eastAsia="宋体" w:cs="宋体"/>
          <w:sz w:val="24"/>
          <w:szCs w:val="24"/>
        </w:rPr>
        <w:t>专业的职业院校有威海职业技术学院、青岛职业技术学院、山东省商业职业学院、山东商贸科技职业学院、东营职业学院、聊城职业学院等。</w:t>
      </w:r>
    </w:p>
    <w:p>
      <w:pPr>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2．高职物流专业招生与就业岗位分布情况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jc w:val="both"/>
        <w:textAlignment w:val="auto"/>
        <w:rPr>
          <w:rFonts w:hint="eastAsia" w:ascii="宋体" w:hAnsi="宋体" w:eastAsia="宋体" w:cs="宋体"/>
          <w:sz w:val="24"/>
          <w:szCs w:val="24"/>
        </w:rPr>
      </w:pPr>
      <w:r>
        <w:rPr>
          <w:rFonts w:hint="eastAsia" w:ascii="宋体" w:hAnsi="宋体" w:eastAsia="宋体" w:cs="宋体"/>
          <w:sz w:val="24"/>
          <w:szCs w:val="24"/>
        </w:rPr>
        <w:t>山东省</w:t>
      </w:r>
      <w:r>
        <w:rPr>
          <w:rFonts w:hint="eastAsia" w:ascii="宋体" w:hAnsi="宋体" w:eastAsia="宋体" w:cs="宋体"/>
          <w:sz w:val="24"/>
          <w:szCs w:val="24"/>
          <w:lang w:eastAsia="zh-CN"/>
        </w:rPr>
        <w:t>现代物流管理</w:t>
      </w:r>
      <w:r>
        <w:rPr>
          <w:rFonts w:hint="eastAsia" w:ascii="宋体" w:hAnsi="宋体" w:eastAsia="宋体" w:cs="宋体"/>
          <w:sz w:val="24"/>
          <w:szCs w:val="24"/>
        </w:rPr>
        <w:t>专业毕业学生近三年就业岗位主要有运输、仓储、装卸、加工、整理、配送、信息加工等</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综合近些年各个开设物流专业的高职院校的就业情况，物流专业毕业生就业率普遍在90%以上。但专业就业对口率都比较低，平均在40%以下。</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3．高职物流专业教学情况及存在主要问题</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纵观各个高职院校的物流专业，课程设置大同小异，以青岛职业技术学院为例：商品学概论、现代</w:t>
      </w:r>
      <w:r>
        <w:rPr>
          <w:rFonts w:hint="eastAsia" w:ascii="宋体" w:hAnsi="宋体" w:eastAsia="宋体" w:cs="宋体"/>
          <w:sz w:val="24"/>
          <w:szCs w:val="24"/>
          <w:lang w:eastAsia="zh-CN"/>
        </w:rPr>
        <w:t>现代物流管理</w:t>
      </w:r>
      <w:r>
        <w:rPr>
          <w:rFonts w:hint="eastAsia" w:ascii="宋体" w:hAnsi="宋体" w:eastAsia="宋体" w:cs="宋体"/>
          <w:sz w:val="24"/>
          <w:szCs w:val="24"/>
        </w:rPr>
        <w:t>、电子商务、配送与配送中心管理、采购与仓储管理、条码技术与应用、物流规划设计、供应链管理、国际物流与货运代理、</w:t>
      </w:r>
      <w:r>
        <w:rPr>
          <w:rFonts w:hint="eastAsia" w:ascii="宋体" w:hAnsi="宋体" w:eastAsia="宋体" w:cs="宋体"/>
          <w:sz w:val="24"/>
          <w:szCs w:val="24"/>
          <w:lang w:eastAsia="zh-CN"/>
        </w:rPr>
        <w:t>现代物流管理</w:t>
      </w:r>
      <w:r>
        <w:rPr>
          <w:rFonts w:hint="eastAsia" w:ascii="宋体" w:hAnsi="宋体" w:eastAsia="宋体" w:cs="宋体"/>
          <w:sz w:val="24"/>
          <w:szCs w:val="24"/>
        </w:rPr>
        <w:t>信息系统等。</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各个高职院校都建立了校内、校外实训基地，但实训条件相差较大。个别院校的校内实训环境较为优越，如青岛职业技术学院，校内现代物流实训基地，占地面积800 平方米。实训基地由中心控制室、仓储实训室、分拣实训室、条码技术与 RFID 实验室、现代物流模型室、流通加工实训室、包装实训室、商务洽谈室、软件操作实训室、现代化办公实训室等组成。其他建设较好的有：东营职业学院学院，建有仓储与配送实训室、物流模拟营业厅等。</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各个高职院校于物流专业的教材使用差异较大，尽管教材内容和体例大体相同，但其中教材差异之处导致各校在课程讲授和实训侧重点上存在较大差异。</w:t>
      </w:r>
    </w:p>
    <w:p>
      <w:pPr>
        <w:keepNext w:val="0"/>
        <w:keepLines w:val="0"/>
        <w:pageBreakBefore w:val="0"/>
        <w:widowControl w:val="0"/>
        <w:kinsoku/>
        <w:wordWrap/>
        <w:overflowPunct/>
        <w:topLinePunct w:val="0"/>
        <w:autoSpaceDE w:val="0"/>
        <w:autoSpaceDN w:val="0"/>
        <w:bidi w:val="0"/>
        <w:spacing w:line="360" w:lineRule="auto"/>
        <w:ind w:left="0" w:firstLine="470" w:firstLineChars="195"/>
        <w:textAlignment w:val="auto"/>
        <w:rPr>
          <w:rFonts w:hint="eastAsia" w:ascii="宋体" w:hAnsi="宋体" w:eastAsia="宋体" w:cs="宋体"/>
          <w:b/>
          <w:sz w:val="24"/>
          <w:szCs w:val="24"/>
        </w:rPr>
      </w:pPr>
      <w:r>
        <w:rPr>
          <w:rFonts w:hint="eastAsia" w:ascii="宋体" w:hAnsi="宋体" w:eastAsia="宋体" w:cs="宋体"/>
          <w:b/>
          <w:sz w:val="24"/>
          <w:szCs w:val="24"/>
        </w:rPr>
        <w:t>四．物流专业教学改革建议</w:t>
      </w:r>
    </w:p>
    <w:p>
      <w:pPr>
        <w:keepNext w:val="0"/>
        <w:keepLines w:val="0"/>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b/>
          <w:sz w:val="24"/>
          <w:szCs w:val="24"/>
        </w:rPr>
      </w:pPr>
      <w:r>
        <w:rPr>
          <w:rFonts w:hint="eastAsia" w:ascii="宋体" w:hAnsi="宋体" w:eastAsia="宋体" w:cs="宋体"/>
          <w:sz w:val="24"/>
          <w:szCs w:val="24"/>
        </w:rPr>
        <w:t>1．物流专业培养目标与专业方向</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综合以上调查结果，我们认为我校</w:t>
      </w:r>
      <w:r>
        <w:rPr>
          <w:rFonts w:hint="eastAsia" w:ascii="宋体" w:hAnsi="宋体" w:eastAsia="宋体" w:cs="宋体"/>
          <w:sz w:val="24"/>
          <w:szCs w:val="24"/>
          <w:lang w:eastAsia="zh-CN"/>
        </w:rPr>
        <w:t>现代物流管理</w:t>
      </w:r>
      <w:r>
        <w:rPr>
          <w:rFonts w:hint="eastAsia" w:ascii="宋体" w:hAnsi="宋体" w:eastAsia="宋体" w:cs="宋体"/>
          <w:sz w:val="24"/>
          <w:szCs w:val="24"/>
        </w:rPr>
        <w:t>专业的定位为物流企业经营管理是正确的。</w:t>
      </w:r>
      <w:r>
        <w:rPr>
          <w:rFonts w:hint="eastAsia" w:ascii="宋体" w:hAnsi="宋体" w:eastAsia="宋体" w:cs="宋体"/>
          <w:bCs/>
          <w:sz w:val="24"/>
          <w:szCs w:val="24"/>
        </w:rPr>
        <w:t>本专业主要面向第三方物流企业，培养在一线物流企业能从事仓储、配送、运输等工作，熟悉物流主要业务流程，掌握操作技能，并能胜任物流企业各项基础管理工作，具有职业生涯发展基础的高素质高级技能型专门人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物流专业课程设置与改革的建议</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经过调研项目组对典型物流企业的工作过程和工作任务等具有了初步的了解，为根据工作过程搭建课程体系，以工作任务为中心搭建课程结构奠定了基础。从目前我校</w:t>
      </w:r>
      <w:r>
        <w:rPr>
          <w:rFonts w:hint="eastAsia" w:ascii="宋体" w:hAnsi="宋体" w:eastAsia="宋体" w:cs="宋体"/>
          <w:sz w:val="24"/>
          <w:szCs w:val="24"/>
          <w:lang w:eastAsia="zh-CN"/>
        </w:rPr>
        <w:t>现代物流管理</w:t>
      </w:r>
      <w:r>
        <w:rPr>
          <w:rFonts w:hint="eastAsia" w:ascii="宋体" w:hAnsi="宋体" w:eastAsia="宋体" w:cs="宋体"/>
          <w:sz w:val="24"/>
          <w:szCs w:val="24"/>
        </w:rPr>
        <w:t>专业的课程设置看分为职业基础课、专业主干课和专业核心课，目前的课程体系、课程结构尚没有做到体现工作过程和任务导向，就单门课程看，传统的知识型结构尚比较明显，这是下一步我们制定专业人才培养过程中应重点解决的问题。</w:t>
      </w:r>
    </w:p>
    <w:p>
      <w:pPr>
        <w:keepNext w:val="0"/>
        <w:keepLines w:val="0"/>
        <w:pageBreakBefore w:val="0"/>
        <w:widowControl w:val="0"/>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3．物流专业师资与实训条件配置建议</w:t>
      </w:r>
    </w:p>
    <w:p>
      <w:pPr>
        <w:keepNext w:val="0"/>
        <w:keepLines w:val="0"/>
        <w:pageBreakBefore w:val="0"/>
        <w:widowControl w:val="0"/>
        <w:kinsoku/>
        <w:wordWrap/>
        <w:overflowPunct/>
        <w:topLinePunct w:val="0"/>
        <w:autoSpaceDE w:val="0"/>
        <w:autoSpaceDN w:val="0"/>
        <w:bidi w:val="0"/>
        <w:spacing w:line="360" w:lineRule="auto"/>
        <w:ind w:left="0" w:firstLine="480"/>
        <w:textAlignment w:val="auto"/>
        <w:rPr>
          <w:lang w:eastAsia="zh-CN"/>
        </w:rPr>
      </w:pPr>
      <w:r>
        <w:rPr>
          <w:rFonts w:hint="eastAsia" w:ascii="宋体" w:hAnsi="宋体" w:eastAsia="宋体" w:cs="宋体"/>
          <w:sz w:val="24"/>
          <w:szCs w:val="24"/>
        </w:rPr>
        <w:t>根据骨干院校专业建设的要求，尤其是通过本次调研，我们感到校内专任教师按照双师素质、双教能力培养的必要性和迫切性，这是本专业师资队伍建设的重心，在双师素质、双教能力的培养过程中，首要的是强化教师的企业经历，对此我们从下学期开始将采取措施，安排专业骨干教师到不同类型的物流企业进行实践锻炼。</w:t>
      </w:r>
    </w:p>
    <w:p>
      <w:pPr>
        <w:rPr>
          <w:rStyle w:val="21"/>
          <w:rFonts w:hint="eastAsia" w:ascii="黑体" w:hAnsi="黑体" w:eastAsia="黑体" w:cs="黑体"/>
          <w:lang w:eastAsia="zh-CN"/>
        </w:rPr>
      </w:pPr>
      <w:bookmarkStart w:id="48" w:name="_Toc14739"/>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rPr>
          <w:rStyle w:val="21"/>
          <w:rFonts w:hint="eastAsia" w:ascii="黑体" w:hAnsi="黑体" w:eastAsia="黑体" w:cs="黑体"/>
          <w:lang w:eastAsia="zh-CN"/>
        </w:rPr>
      </w:pPr>
    </w:p>
    <w:p>
      <w:pPr>
        <w:ind w:firstLine="482" w:firstLineChars="200"/>
        <w:rPr>
          <w:rStyle w:val="21"/>
          <w:rFonts w:ascii="黑体" w:hAnsi="黑体" w:eastAsia="黑体" w:cs="黑体"/>
          <w:lang w:eastAsia="zh-CN"/>
        </w:rPr>
      </w:pPr>
      <w:r>
        <w:rPr>
          <w:rStyle w:val="21"/>
          <w:rFonts w:hint="eastAsia" w:ascii="黑体" w:hAnsi="黑体" w:eastAsia="黑体" w:cs="黑体"/>
          <w:lang w:eastAsia="zh-CN"/>
        </w:rPr>
        <w:t>附件三：</w:t>
      </w:r>
      <w:r>
        <w:rPr>
          <w:rStyle w:val="21"/>
          <w:rFonts w:hint="eastAsia" w:ascii="黑体" w:hAnsi="黑体" w:eastAsia="黑体" w:cs="黑体"/>
          <w:lang w:val="en-US" w:eastAsia="zh-CN"/>
        </w:rPr>
        <w:t>现代物流管理</w:t>
      </w:r>
      <w:r>
        <w:rPr>
          <w:rStyle w:val="21"/>
          <w:rFonts w:hint="eastAsia" w:ascii="黑体" w:hAnsi="黑体" w:eastAsia="黑体" w:cs="黑体"/>
          <w:lang w:eastAsia="zh-CN"/>
        </w:rPr>
        <w:t>专业人才培养方案变更审批表</w:t>
      </w:r>
      <w:bookmarkEnd w:id="48"/>
    </w:p>
    <w:p>
      <w:pPr>
        <w:jc w:val="center"/>
        <w:rPr>
          <w:sz w:val="36"/>
          <w:szCs w:val="36"/>
          <w:lang w:eastAsia="zh-CN"/>
        </w:rPr>
      </w:pPr>
      <w:r>
        <w:rPr>
          <w:rFonts w:hint="eastAsia"/>
          <w:sz w:val="36"/>
          <w:szCs w:val="36"/>
          <w:lang w:val="en-US" w:eastAsia="zh-CN"/>
        </w:rPr>
        <w:t>现代物流管理</w:t>
      </w:r>
      <w:r>
        <w:rPr>
          <w:rFonts w:hint="eastAsia"/>
          <w:sz w:val="36"/>
          <w:szCs w:val="36"/>
          <w:lang w:eastAsia="zh-CN"/>
        </w:rPr>
        <w:t>专业人才培养方案变更审批表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理</w:t>
            </w:r>
          </w:p>
          <w:p>
            <w:pPr>
              <w:pStyle w:val="7"/>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内</w:t>
            </w:r>
          </w:p>
          <w:p>
            <w:pPr>
              <w:pStyle w:val="7"/>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7"/>
              <w:adjustRightInd w:val="0"/>
              <w:snapToGrid w:val="0"/>
              <w:spacing w:line="360" w:lineRule="auto"/>
              <w:jc w:val="both"/>
              <w:rPr>
                <w:sz w:val="24"/>
                <w:szCs w:val="24"/>
                <w:lang w:eastAsia="zh-CN"/>
              </w:rPr>
            </w:pPr>
            <w:r>
              <w:rPr>
                <w:rFonts w:hint="eastAsia"/>
                <w:sz w:val="24"/>
                <w:szCs w:val="24"/>
                <w:lang w:eastAsia="zh-CN"/>
              </w:rPr>
              <w:t>系部意见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pPr>
              <w:pStyle w:val="7"/>
              <w:adjustRightInd w:val="0"/>
              <w:snapToGrid w:val="0"/>
              <w:spacing w:line="360" w:lineRule="auto"/>
              <w:jc w:val="both"/>
              <w:rPr>
                <w:sz w:val="24"/>
                <w:szCs w:val="24"/>
                <w:lang w:eastAsia="zh-CN"/>
              </w:rPr>
            </w:pPr>
            <w:r>
              <w:rPr>
                <w:rFonts w:hint="eastAsia"/>
                <w:sz w:val="24"/>
                <w:szCs w:val="24"/>
                <w:lang w:eastAsia="zh-CN"/>
              </w:rPr>
              <w:t>教务处意见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r>
    </w:tbl>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adjustRightInd w:val="0"/>
        <w:snapToGrid w:val="0"/>
        <w:spacing w:line="360" w:lineRule="auto"/>
        <w:ind w:firstLine="482" w:firstLineChars="200"/>
        <w:outlineLvl w:val="0"/>
        <w:rPr>
          <w:rStyle w:val="21"/>
          <w:rFonts w:ascii="黑体" w:hAnsi="黑体" w:eastAsia="黑体" w:cs="黑体"/>
          <w:lang w:eastAsia="zh-CN"/>
        </w:rPr>
      </w:pPr>
      <w:bookmarkStart w:id="49" w:name="_Toc32350"/>
      <w:r>
        <w:rPr>
          <w:rStyle w:val="21"/>
          <w:rFonts w:hint="eastAsia" w:ascii="黑体" w:hAnsi="黑体" w:eastAsia="黑体" w:cs="黑体"/>
          <w:lang w:eastAsia="zh-CN"/>
        </w:rPr>
        <w:t>附件四：菏泽职业学院学分制评价标准</w:t>
      </w:r>
      <w:bookmarkEnd w:id="49"/>
    </w:p>
    <w:p>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val="en-US" w:eastAsia="zh-CN"/>
        </w:rPr>
        <w:t>商贸物流</w:t>
      </w:r>
      <w:r>
        <w:rPr>
          <w:b/>
          <w:bCs/>
          <w:sz w:val="30"/>
          <w:lang w:eastAsia="zh-CN"/>
        </w:rPr>
        <w:t>系学分制评价标准</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1.技术专利</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pPr>
        <w:pStyle w:val="7"/>
        <w:numPr>
          <w:ilvl w:val="0"/>
          <w:numId w:val="8"/>
        </w:numPr>
        <w:adjustRightInd w:val="0"/>
        <w:snapToGrid w:val="0"/>
        <w:spacing w:line="360" w:lineRule="auto"/>
        <w:ind w:firstLine="482" w:firstLineChars="200"/>
        <w:rPr>
          <w:rFonts w:hint="default"/>
          <w:b/>
          <w:bCs/>
          <w:sz w:val="24"/>
          <w:szCs w:val="24"/>
          <w:lang w:val="en-US" w:eastAsia="zh-CN"/>
        </w:rPr>
      </w:pPr>
      <w:r>
        <w:rPr>
          <w:rFonts w:hint="eastAsia"/>
          <w:b/>
          <w:bCs/>
          <w:sz w:val="24"/>
          <w:szCs w:val="24"/>
          <w:lang w:eastAsia="zh-CN"/>
        </w:rPr>
        <w:t>学分置换标准</w:t>
      </w:r>
    </w:p>
    <w:tbl>
      <w:tblPr>
        <w:tblStyle w:val="14"/>
        <w:tblW w:w="6873" w:type="dxa"/>
        <w:jc w:val="center"/>
        <w:tblLayout w:type="fixed"/>
        <w:tblCellMar>
          <w:top w:w="0" w:type="dxa"/>
          <w:left w:w="108" w:type="dxa"/>
          <w:bottom w:w="0" w:type="dxa"/>
          <w:right w:w="108" w:type="dxa"/>
        </w:tblCellMar>
      </w:tblPr>
      <w:tblGrid>
        <w:gridCol w:w="870"/>
        <w:gridCol w:w="1866"/>
        <w:gridCol w:w="1445"/>
        <w:gridCol w:w="1417"/>
        <w:gridCol w:w="1275"/>
      </w:tblGrid>
      <w:tr>
        <w:tblPrEx>
          <w:tblCellMar>
            <w:top w:w="0" w:type="dxa"/>
            <w:left w:w="108" w:type="dxa"/>
            <w:bottom w:w="0" w:type="dxa"/>
            <w:right w:w="108" w:type="dxa"/>
          </w:tblCellMar>
        </w:tblPrEx>
        <w:trPr>
          <w:trHeight w:val="986"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项目</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宋体"/>
                <w:b/>
                <w:bCs/>
                <w:color w:val="000000"/>
                <w:sz w:val="24"/>
                <w:szCs w:val="24"/>
                <w:lang w:val="en-US" w:eastAsia="zh-CN"/>
              </w:rPr>
            </w:pPr>
            <w:r>
              <w:rPr>
                <w:rFonts w:hint="eastAsia"/>
                <w:b/>
                <w:bCs/>
                <w:color w:val="000000"/>
                <w:sz w:val="24"/>
                <w:szCs w:val="24"/>
                <w:lang w:val="en-US" w:eastAsia="zh-CN"/>
              </w:rPr>
              <w:t>子项目</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学分置换标准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证明材料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置换学分绩点</w:t>
            </w:r>
          </w:p>
        </w:tc>
      </w:tr>
      <w:tr>
        <w:tblPrEx>
          <w:tblCellMar>
            <w:top w:w="0" w:type="dxa"/>
            <w:left w:w="108" w:type="dxa"/>
            <w:bottom w:w="0" w:type="dxa"/>
            <w:right w:w="108" w:type="dxa"/>
          </w:tblCellMar>
        </w:tblPrEx>
        <w:trPr>
          <w:trHeight w:val="608" w:hRule="atLeast"/>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技术专利</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核心专利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专利证书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r>
      <w:tr>
        <w:tblPrEx>
          <w:tblCellMar>
            <w:top w:w="0" w:type="dxa"/>
            <w:left w:w="108" w:type="dxa"/>
            <w:bottom w:w="0" w:type="dxa"/>
            <w:right w:w="108" w:type="dxa"/>
          </w:tblCellMar>
        </w:tblPrEx>
        <w:trPr>
          <w:trHeight w:val="628"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866" w:type="dxa"/>
            <w:tcBorders>
              <w:top w:val="nil"/>
              <w:left w:val="nil"/>
              <w:bottom w:val="nil"/>
              <w:right w:val="nil"/>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重要专利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3.5</w:t>
            </w:r>
          </w:p>
        </w:tc>
      </w:tr>
      <w:tr>
        <w:tblPrEx>
          <w:tblCellMar>
            <w:top w:w="0" w:type="dxa"/>
            <w:left w:w="108" w:type="dxa"/>
            <w:bottom w:w="0" w:type="dxa"/>
            <w:right w:w="108" w:type="dxa"/>
          </w:tblCellMar>
        </w:tblPrEx>
        <w:trPr>
          <w:trHeight w:val="598"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一般专利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r>
    </w:tbl>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说明：已置换学分的专利经相关部门认定又在各类竞赛中获奖的，此获奖不再置换学分。</w:t>
      </w:r>
    </w:p>
    <w:p>
      <w:pPr>
        <w:pStyle w:val="7"/>
        <w:numPr>
          <w:ilvl w:val="0"/>
          <w:numId w:val="8"/>
        </w:numPr>
        <w:adjustRightInd w:val="0"/>
        <w:snapToGrid w:val="0"/>
        <w:spacing w:line="360" w:lineRule="auto"/>
        <w:ind w:left="0" w:leftChars="0" w:firstLine="482" w:firstLineChars="200"/>
        <w:rPr>
          <w:rFonts w:hint="eastAsia"/>
          <w:b/>
          <w:bCs/>
          <w:sz w:val="24"/>
          <w:szCs w:val="24"/>
          <w:lang w:eastAsia="zh-CN"/>
        </w:rPr>
      </w:pPr>
      <w:r>
        <w:rPr>
          <w:rFonts w:hint="eastAsia"/>
          <w:b/>
          <w:bCs/>
          <w:sz w:val="24"/>
          <w:szCs w:val="24"/>
          <w:lang w:eastAsia="zh-CN"/>
        </w:rPr>
        <w:t>置换课程</w:t>
      </w:r>
    </w:p>
    <w:tbl>
      <w:tblPr>
        <w:tblStyle w:val="14"/>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43"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物流基础相关类专利</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eastAsia="zh-CN" w:bidi="ar"/>
              </w:rPr>
              <w:t>1.</w:t>
            </w:r>
            <w:r>
              <w:rPr>
                <w:rFonts w:hint="eastAsia"/>
                <w:color w:val="000000"/>
                <w:sz w:val="24"/>
                <w:szCs w:val="24"/>
                <w:lang w:val="en-US" w:eastAsia="zh-CN" w:bidi="ar"/>
              </w:rPr>
              <w:t>物流基础</w:t>
            </w:r>
          </w:p>
        </w:tc>
        <w:tc>
          <w:tcPr>
            <w:tcW w:w="1462" w:type="dxa"/>
            <w:vMerge w:val="restart"/>
            <w:tcBorders>
              <w:top w:val="nil"/>
              <w:left w:val="nil"/>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34"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eastAsia="zh-CN" w:bidi="ar"/>
              </w:rPr>
              <w:t>2.</w:t>
            </w:r>
            <w:r>
              <w:rPr>
                <w:rFonts w:hint="eastAsia"/>
                <w:color w:val="000000"/>
                <w:sz w:val="24"/>
                <w:szCs w:val="24"/>
                <w:lang w:val="en-US" w:eastAsia="zh-CN" w:bidi="ar"/>
              </w:rPr>
              <w:t>快递实务</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4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eastAsia="zh-CN"/>
              </w:rPr>
            </w:pPr>
            <w:r>
              <w:rPr>
                <w:rFonts w:hint="eastAsia"/>
                <w:color w:val="000000"/>
                <w:sz w:val="24"/>
                <w:szCs w:val="24"/>
                <w:lang w:eastAsia="zh-CN" w:bidi="ar"/>
              </w:rPr>
              <w:t>3.</w:t>
            </w:r>
            <w:r>
              <w:rPr>
                <w:rFonts w:hint="eastAsia"/>
                <w:color w:val="000000"/>
                <w:sz w:val="24"/>
                <w:szCs w:val="24"/>
                <w:lang w:val="en-US" w:eastAsia="zh-CN" w:bidi="ar"/>
              </w:rPr>
              <w:t>物流地理</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386" w:hRule="atLeast"/>
        </w:trPr>
        <w:tc>
          <w:tcPr>
            <w:tcW w:w="2374" w:type="dxa"/>
            <w:vMerge w:val="continue"/>
            <w:tcBorders>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textAlignment w:val="center"/>
              <w:rPr>
                <w:rFonts w:hint="default"/>
                <w:color w:val="000000"/>
                <w:sz w:val="24"/>
                <w:szCs w:val="24"/>
                <w:lang w:val="en-US" w:eastAsia="zh-CN" w:bidi="ar"/>
              </w:rPr>
            </w:pPr>
            <w:r>
              <w:rPr>
                <w:rFonts w:hint="eastAsia"/>
                <w:color w:val="000000"/>
                <w:sz w:val="24"/>
                <w:szCs w:val="24"/>
                <w:lang w:val="en-US" w:eastAsia="zh-CN" w:bidi="ar"/>
              </w:rPr>
              <w:t>4.物流设施与设备＋叉车实务</w:t>
            </w:r>
          </w:p>
        </w:tc>
        <w:tc>
          <w:tcPr>
            <w:tcW w:w="1462" w:type="dxa"/>
            <w:vMerge w:val="continue"/>
            <w:tcBorders>
              <w:left w:val="nil"/>
              <w:bottom w:val="single" w:color="auto" w:sz="4"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3"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物流功能相关类专利</w:t>
            </w: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eastAsia="zh-CN" w:bidi="ar"/>
              </w:rPr>
            </w:pPr>
            <w:r>
              <w:rPr>
                <w:rFonts w:hint="eastAsia"/>
                <w:color w:val="000000"/>
                <w:sz w:val="24"/>
                <w:szCs w:val="24"/>
                <w:lang w:val="en-US" w:eastAsia="zh-CN" w:bidi="ar"/>
              </w:rPr>
              <w:t>1.运输管理</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33" w:hRule="atLeast"/>
        </w:trPr>
        <w:tc>
          <w:tcPr>
            <w:tcW w:w="2374" w:type="dxa"/>
            <w:vMerge w:val="continue"/>
            <w:tcBorders>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2.采购管理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09"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3.配送管理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8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4</w:t>
            </w:r>
            <w:r>
              <w:rPr>
                <w:rFonts w:hint="eastAsia"/>
                <w:color w:val="000000"/>
                <w:sz w:val="24"/>
                <w:szCs w:val="24"/>
                <w:lang w:eastAsia="zh-CN" w:bidi="ar"/>
              </w:rPr>
              <w:t>.</w:t>
            </w:r>
            <w:r>
              <w:rPr>
                <w:rFonts w:hint="eastAsia"/>
                <w:color w:val="000000"/>
                <w:sz w:val="24"/>
                <w:szCs w:val="24"/>
                <w:lang w:val="en-US" w:eastAsia="zh-CN" w:bidi="ar"/>
              </w:rPr>
              <w:t>仓储管理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7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5</w:t>
            </w:r>
            <w:r>
              <w:rPr>
                <w:rFonts w:hint="eastAsia"/>
                <w:color w:val="000000"/>
                <w:sz w:val="24"/>
                <w:szCs w:val="24"/>
                <w:lang w:eastAsia="zh-CN" w:bidi="ar"/>
              </w:rPr>
              <w:t>.</w:t>
            </w:r>
            <w:r>
              <w:rPr>
                <w:rFonts w:hint="eastAsia"/>
                <w:color w:val="000000"/>
                <w:sz w:val="24"/>
                <w:szCs w:val="24"/>
                <w:lang w:val="en-US" w:eastAsia="zh-CN" w:bidi="ar"/>
              </w:rPr>
              <w:t>供应链管理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56" w:hRule="atLeast"/>
        </w:trPr>
        <w:tc>
          <w:tcPr>
            <w:tcW w:w="2374" w:type="dxa"/>
            <w:vMerge w:val="continue"/>
            <w:tcBorders>
              <w:left w:val="single" w:color="000000" w:sz="8" w:space="0"/>
              <w:bottom w:val="single" w:color="auto" w:sz="4"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6.生产物流管理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bl>
    <w:p>
      <w:pPr>
        <w:pStyle w:val="24"/>
        <w:tabs>
          <w:tab w:val="left" w:pos="1626"/>
        </w:tabs>
        <w:spacing w:before="80"/>
        <w:ind w:left="0" w:leftChars="0" w:firstLine="482" w:firstLineChars="200"/>
        <w:rPr>
          <w:b/>
          <w:sz w:val="24"/>
          <w:lang w:eastAsia="zh-CN"/>
        </w:rPr>
      </w:pPr>
      <w:bookmarkStart w:id="51" w:name="_GoBack"/>
      <w:bookmarkEnd w:id="51"/>
      <w:r>
        <w:rPr>
          <w:rFonts w:hint="eastAsia"/>
          <w:b/>
          <w:sz w:val="24"/>
          <w:lang w:eastAsia="zh-CN"/>
        </w:rPr>
        <w:t>2.发表学术论文、文艺作品、出版著作</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pPr>
        <w:pStyle w:val="7"/>
        <w:adjustRightInd w:val="0"/>
        <w:snapToGrid w:val="0"/>
        <w:spacing w:line="360" w:lineRule="auto"/>
        <w:ind w:firstLine="482" w:firstLineChars="200"/>
        <w:rPr>
          <w:sz w:val="24"/>
          <w:szCs w:val="24"/>
          <w:lang w:eastAsia="zh-CN"/>
        </w:rPr>
      </w:pPr>
      <w:r>
        <w:rPr>
          <w:rFonts w:hint="eastAsia"/>
          <w:b/>
          <w:bCs/>
          <w:sz w:val="24"/>
          <w:szCs w:val="24"/>
          <w:lang w:eastAsia="zh-CN"/>
        </w:rPr>
        <w:t>（1）学分置换标准</w:t>
      </w:r>
    </w:p>
    <w:tbl>
      <w:tblPr>
        <w:tblStyle w:val="14"/>
        <w:tblW w:w="7698" w:type="dxa"/>
        <w:jc w:val="center"/>
        <w:tblLayout w:type="autofit"/>
        <w:tblCellMar>
          <w:top w:w="0" w:type="dxa"/>
          <w:left w:w="108" w:type="dxa"/>
          <w:bottom w:w="0" w:type="dxa"/>
          <w:right w:w="108" w:type="dxa"/>
        </w:tblCellMar>
      </w:tblPr>
      <w:tblGrid>
        <w:gridCol w:w="643"/>
        <w:gridCol w:w="2025"/>
        <w:gridCol w:w="1286"/>
        <w:gridCol w:w="835"/>
        <w:gridCol w:w="868"/>
        <w:gridCol w:w="1141"/>
        <w:gridCol w:w="900"/>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98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r>
      <w:tr>
        <w:tblPrEx>
          <w:tblCellMar>
            <w:top w:w="0" w:type="dxa"/>
            <w:left w:w="108" w:type="dxa"/>
            <w:bottom w:w="0" w:type="dxa"/>
            <w:right w:w="108" w:type="dxa"/>
          </w:tblCellMar>
        </w:tblPrEx>
        <w:trPr>
          <w:trHeight w:val="60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学术论文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中文核心期刊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正式出版刊物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r>
      <w:tr>
        <w:tblPrEx>
          <w:tblCellMar>
            <w:top w:w="0" w:type="dxa"/>
            <w:left w:w="108" w:type="dxa"/>
            <w:bottom w:w="0" w:type="dxa"/>
            <w:right w:w="108" w:type="dxa"/>
          </w:tblCellMar>
        </w:tblPrEx>
        <w:trPr>
          <w:trHeight w:val="62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nil"/>
              <w:left w:val="nil"/>
              <w:bottom w:val="nil"/>
              <w:right w:val="nil"/>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国家级学术刊物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3.5</w:t>
            </w:r>
          </w:p>
        </w:tc>
      </w:tr>
      <w:tr>
        <w:tblPrEx>
          <w:tblCellMar>
            <w:top w:w="0" w:type="dxa"/>
            <w:left w:w="108" w:type="dxa"/>
            <w:bottom w:w="0" w:type="dxa"/>
            <w:right w:w="108" w:type="dxa"/>
          </w:tblCellMar>
        </w:tblPrEx>
        <w:trPr>
          <w:trHeight w:val="59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省级学术刊物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r>
    </w:tbl>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4"/>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06"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val="en-US" w:eastAsia="zh-CN" w:bidi="ar"/>
              </w:rPr>
              <w:t>物流基础知识相关</w:t>
            </w:r>
            <w:r>
              <w:rPr>
                <w:rFonts w:hint="eastAsia"/>
                <w:color w:val="000000"/>
                <w:sz w:val="24"/>
                <w:szCs w:val="24"/>
                <w:lang w:eastAsia="zh-CN" w:bidi="ar"/>
              </w:rPr>
              <w:t>相关论文</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1.</w:t>
            </w:r>
            <w:r>
              <w:rPr>
                <w:rFonts w:hint="eastAsia"/>
                <w:color w:val="000000"/>
                <w:sz w:val="24"/>
                <w:szCs w:val="24"/>
                <w:lang w:val="en-US" w:eastAsia="zh-CN" w:bidi="ar"/>
              </w:rPr>
              <w:t>物流基础</w:t>
            </w:r>
          </w:p>
        </w:tc>
        <w:tc>
          <w:tcPr>
            <w:tcW w:w="1462" w:type="dxa"/>
            <w:vMerge w:val="restart"/>
            <w:tcBorders>
              <w:top w:val="nil"/>
              <w:left w:val="nil"/>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20"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2.</w:t>
            </w:r>
            <w:r>
              <w:rPr>
                <w:rFonts w:hint="eastAsia"/>
                <w:color w:val="000000"/>
                <w:sz w:val="24"/>
                <w:szCs w:val="24"/>
                <w:lang w:val="en-US" w:eastAsia="zh-CN" w:bidi="ar"/>
              </w:rPr>
              <w:t>快递实务</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18"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3.</w:t>
            </w:r>
            <w:r>
              <w:rPr>
                <w:rFonts w:hint="eastAsia"/>
                <w:color w:val="000000"/>
                <w:sz w:val="24"/>
                <w:szCs w:val="24"/>
                <w:lang w:val="en-US" w:eastAsia="zh-CN" w:bidi="ar"/>
              </w:rPr>
              <w:t>物流地理</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textAlignment w:val="center"/>
              <w:rPr>
                <w:rFonts w:hint="eastAsia"/>
                <w:color w:val="000000"/>
                <w:sz w:val="24"/>
                <w:szCs w:val="24"/>
                <w:lang w:eastAsia="zh-CN" w:bidi="ar"/>
              </w:rPr>
            </w:pPr>
            <w:r>
              <w:rPr>
                <w:rFonts w:hint="eastAsia"/>
                <w:color w:val="000000"/>
                <w:sz w:val="24"/>
                <w:szCs w:val="24"/>
                <w:lang w:val="en-US" w:eastAsia="zh-CN" w:bidi="ar"/>
              </w:rPr>
              <w:t>4.物流设施与设备＋叉车实务</w:t>
            </w:r>
          </w:p>
        </w:tc>
        <w:tc>
          <w:tcPr>
            <w:tcW w:w="1462" w:type="dxa"/>
            <w:vMerge w:val="continue"/>
            <w:tcBorders>
              <w:left w:val="nil"/>
              <w:bottom w:val="single" w:color="auto" w:sz="4"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111"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val="en-US" w:eastAsia="zh-CN" w:bidi="ar"/>
              </w:rPr>
              <w:t>物流功能知识</w:t>
            </w:r>
            <w:r>
              <w:rPr>
                <w:rFonts w:hint="eastAsia"/>
                <w:color w:val="000000"/>
                <w:sz w:val="24"/>
                <w:szCs w:val="24"/>
                <w:lang w:eastAsia="zh-CN" w:bidi="ar"/>
              </w:rPr>
              <w:t>专业相关论文</w:t>
            </w: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1.运输管理</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09"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rPr>
              <w:t>2.采购管理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2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3.配送管理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2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4</w:t>
            </w:r>
            <w:r>
              <w:rPr>
                <w:rFonts w:hint="eastAsia"/>
                <w:color w:val="000000"/>
                <w:sz w:val="24"/>
                <w:szCs w:val="24"/>
                <w:lang w:eastAsia="zh-CN" w:bidi="ar"/>
              </w:rPr>
              <w:t>.</w:t>
            </w:r>
            <w:r>
              <w:rPr>
                <w:rFonts w:hint="eastAsia"/>
                <w:color w:val="000000"/>
                <w:sz w:val="24"/>
                <w:szCs w:val="24"/>
                <w:lang w:val="en-US" w:eastAsia="zh-CN" w:bidi="ar"/>
              </w:rPr>
              <w:t>仓储管理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16"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5</w:t>
            </w:r>
            <w:r>
              <w:rPr>
                <w:rFonts w:hint="eastAsia"/>
                <w:color w:val="000000"/>
                <w:sz w:val="24"/>
                <w:szCs w:val="24"/>
                <w:lang w:eastAsia="zh-CN" w:bidi="ar"/>
              </w:rPr>
              <w:t>.</w:t>
            </w:r>
            <w:r>
              <w:rPr>
                <w:rFonts w:hint="eastAsia"/>
                <w:color w:val="000000"/>
                <w:sz w:val="24"/>
                <w:szCs w:val="24"/>
                <w:lang w:val="en-US" w:eastAsia="zh-CN" w:bidi="ar"/>
              </w:rPr>
              <w:t>供应链管理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66" w:hRule="atLeast"/>
        </w:trPr>
        <w:tc>
          <w:tcPr>
            <w:tcW w:w="2374" w:type="dxa"/>
            <w:vMerge w:val="continue"/>
            <w:tcBorders>
              <w:left w:val="single" w:color="000000" w:sz="8" w:space="0"/>
              <w:bottom w:val="single" w:color="auto" w:sz="4"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eastAsia"/>
                <w:color w:val="000000"/>
                <w:sz w:val="24"/>
                <w:szCs w:val="24"/>
                <w:lang w:eastAsia="zh-CN" w:bidi="ar"/>
              </w:rPr>
            </w:pPr>
            <w:r>
              <w:rPr>
                <w:rFonts w:hint="eastAsia"/>
                <w:color w:val="000000"/>
                <w:sz w:val="24"/>
                <w:szCs w:val="24"/>
                <w:lang w:val="en-US" w:eastAsia="zh-CN"/>
              </w:rPr>
              <w:t>6.生产物流管理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bl>
    <w:p>
      <w:pPr>
        <w:pStyle w:val="24"/>
        <w:tabs>
          <w:tab w:val="left" w:pos="1626"/>
        </w:tabs>
        <w:spacing w:before="80"/>
        <w:ind w:left="0" w:firstLine="482" w:firstLineChars="200"/>
        <w:rPr>
          <w:b/>
          <w:sz w:val="24"/>
          <w:lang w:eastAsia="zh-CN"/>
        </w:rPr>
      </w:pPr>
      <w:r>
        <w:rPr>
          <w:rFonts w:hint="eastAsia"/>
          <w:b/>
          <w:sz w:val="24"/>
          <w:lang w:eastAsia="zh-CN"/>
        </w:rPr>
        <w:t>3.</w:t>
      </w:r>
      <w:r>
        <w:rPr>
          <w:b/>
          <w:sz w:val="24"/>
          <w:lang w:eastAsia="zh-CN"/>
        </w:rPr>
        <w:t>技能竞赛、文化体育竞赛</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7"/>
        <w:numPr>
          <w:ilvl w:val="0"/>
          <w:numId w:val="9"/>
        </w:numPr>
        <w:adjustRightInd w:val="0"/>
        <w:snapToGrid w:val="0"/>
        <w:spacing w:line="360" w:lineRule="auto"/>
        <w:ind w:firstLine="482" w:firstLineChars="200"/>
        <w:rPr>
          <w:b/>
          <w:bCs/>
          <w:sz w:val="24"/>
          <w:szCs w:val="24"/>
          <w:lang w:eastAsia="zh-CN"/>
        </w:rPr>
      </w:pPr>
      <w:r>
        <w:rPr>
          <w:rFonts w:hint="eastAsia"/>
          <w:b/>
          <w:bCs/>
          <w:sz w:val="24"/>
          <w:szCs w:val="24"/>
          <w:lang w:eastAsia="zh-CN"/>
        </w:rPr>
        <w:t>学分置换标准</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rPr>
        <w:t>置换专业课学分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核心大赛，最高可兑换8个学分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①国家级大赛一、二、三等奖可兑换8、6、4个学分；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②省级大赛一、二、三等奖可兑换4、3、2个学分；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③市（院）级大赛一、二等奖可兑换1、0.5个学分；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rPr>
        <w:t>置换选修课程学分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非核心竞赛和文体活动，最高可兑换8个学分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①国家级二类大赛一、二、三等奖可兑换4、3、2个学分；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②省级大赛一、二、三等奖可兑换3、2、1个学分；</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b/>
          <w:bCs/>
          <w:sz w:val="24"/>
          <w:szCs w:val="24"/>
          <w:lang w:eastAsia="zh-CN"/>
        </w:rPr>
      </w:pPr>
      <w:r>
        <w:rPr>
          <w:rFonts w:hint="eastAsia" w:ascii="宋体" w:hAnsi="宋体" w:eastAsia="宋体" w:cs="宋体"/>
          <w:sz w:val="24"/>
          <w:szCs w:val="24"/>
        </w:rPr>
        <w:t xml:space="preserve">  ③市（院）级大赛一、二等奖可兑换1、0.5个学分；</w:t>
      </w:r>
    </w:p>
    <w:p>
      <w:pPr>
        <w:pStyle w:val="7"/>
        <w:numPr>
          <w:ilvl w:val="0"/>
          <w:numId w:val="9"/>
        </w:numPr>
        <w:adjustRightInd w:val="0"/>
        <w:snapToGrid w:val="0"/>
        <w:spacing w:before="156" w:beforeLines="50" w:line="360" w:lineRule="auto"/>
        <w:ind w:left="0" w:leftChars="0" w:firstLine="482" w:firstLineChars="200"/>
        <w:rPr>
          <w:rFonts w:hint="eastAsia"/>
          <w:b/>
          <w:bCs/>
          <w:sz w:val="24"/>
          <w:szCs w:val="24"/>
          <w:lang w:eastAsia="zh-CN"/>
        </w:rPr>
      </w:pPr>
      <w:r>
        <w:rPr>
          <w:rFonts w:hint="eastAsia"/>
          <w:b/>
          <w:bCs/>
          <w:sz w:val="24"/>
          <w:szCs w:val="24"/>
          <w:lang w:eastAsia="zh-CN"/>
        </w:rPr>
        <w:t>置换课程</w:t>
      </w:r>
    </w:p>
    <w:tbl>
      <w:tblPr>
        <w:tblStyle w:val="14"/>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18" w:hRule="atLeast"/>
        </w:trPr>
        <w:tc>
          <w:tcPr>
            <w:tcW w:w="2374" w:type="dxa"/>
            <w:vMerge w:val="restart"/>
            <w:tcBorders>
              <w:left w:val="single" w:color="000000" w:sz="8" w:space="0"/>
              <w:right w:val="nil"/>
            </w:tcBorders>
            <w:shd w:val="clear" w:color="auto" w:fill="auto"/>
            <w:vAlign w:val="center"/>
          </w:tcPr>
          <w:p>
            <w:pPr>
              <w:jc w:val="center"/>
              <w:rPr>
                <w:rFonts w:hint="default" w:eastAsia="宋体"/>
                <w:color w:val="000000"/>
                <w:sz w:val="24"/>
                <w:szCs w:val="24"/>
                <w:lang w:val="en-US" w:eastAsia="zh-CN"/>
              </w:rPr>
            </w:pPr>
            <w:r>
              <w:rPr>
                <w:rFonts w:hint="eastAsia"/>
                <w:color w:val="000000"/>
                <w:sz w:val="24"/>
                <w:szCs w:val="24"/>
                <w:lang w:val="en-US" w:eastAsia="zh-CN"/>
              </w:rPr>
              <w:t>线上选修课</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1.网络营销</w:t>
            </w:r>
          </w:p>
        </w:tc>
        <w:tc>
          <w:tcPr>
            <w:tcW w:w="1462" w:type="dxa"/>
            <w:vMerge w:val="restart"/>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2.Excel物流应用教程</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3.物流专业英语</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08"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4.短视频制作与剪辑</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5.网店运营推广</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6.第三方物流管理</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7.物流中心设计与运作</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8.图形图像处理</w:t>
            </w:r>
          </w:p>
        </w:tc>
        <w:tc>
          <w:tcPr>
            <w:tcW w:w="1462" w:type="dxa"/>
            <w:vMerge w:val="continue"/>
            <w:tcBorders>
              <w:left w:val="nil"/>
              <w:bottom w:val="single" w:color="auto" w:sz="4"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111"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bidi="ar"/>
              </w:rPr>
              <w:t>专业课程</w:t>
            </w: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1.运输管理</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09"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rPr>
              <w:t>2.采购管理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2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3.配送管理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2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4</w:t>
            </w:r>
            <w:r>
              <w:rPr>
                <w:rFonts w:hint="eastAsia"/>
                <w:color w:val="000000"/>
                <w:sz w:val="24"/>
                <w:szCs w:val="24"/>
                <w:lang w:eastAsia="zh-CN" w:bidi="ar"/>
              </w:rPr>
              <w:t>.</w:t>
            </w:r>
            <w:r>
              <w:rPr>
                <w:rFonts w:hint="eastAsia"/>
                <w:color w:val="000000"/>
                <w:sz w:val="24"/>
                <w:szCs w:val="24"/>
                <w:lang w:val="en-US" w:eastAsia="zh-CN" w:bidi="ar"/>
              </w:rPr>
              <w:t>仓储管理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16"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5</w:t>
            </w:r>
            <w:r>
              <w:rPr>
                <w:rFonts w:hint="eastAsia"/>
                <w:color w:val="000000"/>
                <w:sz w:val="24"/>
                <w:szCs w:val="24"/>
                <w:lang w:eastAsia="zh-CN" w:bidi="ar"/>
              </w:rPr>
              <w:t>.</w:t>
            </w:r>
            <w:r>
              <w:rPr>
                <w:rFonts w:hint="eastAsia"/>
                <w:color w:val="000000"/>
                <w:sz w:val="24"/>
                <w:szCs w:val="24"/>
                <w:lang w:val="en-US" w:eastAsia="zh-CN" w:bidi="ar"/>
              </w:rPr>
              <w:t>供应链管理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66" w:hRule="atLeast"/>
        </w:trPr>
        <w:tc>
          <w:tcPr>
            <w:tcW w:w="2374" w:type="dxa"/>
            <w:vMerge w:val="continue"/>
            <w:tcBorders>
              <w:left w:val="single" w:color="000000" w:sz="8" w:space="0"/>
              <w:bottom w:val="single" w:color="auto" w:sz="4"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eastAsia"/>
                <w:color w:val="000000"/>
                <w:sz w:val="24"/>
                <w:szCs w:val="24"/>
                <w:lang w:eastAsia="zh-CN" w:bidi="ar"/>
              </w:rPr>
            </w:pPr>
            <w:r>
              <w:rPr>
                <w:rFonts w:hint="eastAsia"/>
                <w:color w:val="000000"/>
                <w:sz w:val="24"/>
                <w:szCs w:val="24"/>
                <w:lang w:val="en-US" w:eastAsia="zh-CN"/>
              </w:rPr>
              <w:t>6.生产物流管理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bl>
    <w:p>
      <w:pPr>
        <w:pStyle w:val="7"/>
        <w:numPr>
          <w:ilvl w:val="0"/>
          <w:numId w:val="0"/>
        </w:numPr>
        <w:adjustRightInd w:val="0"/>
        <w:snapToGrid w:val="0"/>
        <w:spacing w:before="156" w:beforeLines="50" w:line="360" w:lineRule="auto"/>
        <w:ind w:leftChars="200"/>
        <w:rPr>
          <w:rFonts w:hint="eastAsia"/>
          <w:b/>
          <w:bCs/>
          <w:sz w:val="24"/>
          <w:szCs w:val="24"/>
          <w:lang w:eastAsia="zh-CN"/>
        </w:rPr>
      </w:pPr>
    </w:p>
    <w:p>
      <w:pPr>
        <w:pStyle w:val="24"/>
        <w:keepNext w:val="0"/>
        <w:keepLines w:val="0"/>
        <w:pageBreakBefore w:val="0"/>
        <w:widowControl w:val="0"/>
        <w:tabs>
          <w:tab w:val="left" w:pos="1626"/>
        </w:tabs>
        <w:kinsoku/>
        <w:wordWrap/>
        <w:overflowPunct/>
        <w:topLinePunct w:val="0"/>
        <w:autoSpaceDE w:val="0"/>
        <w:autoSpaceDN w:val="0"/>
        <w:bidi w:val="0"/>
        <w:spacing w:before="0" w:line="360" w:lineRule="auto"/>
        <w:ind w:left="0" w:firstLine="482" w:firstLineChars="200"/>
        <w:textAlignment w:val="auto"/>
        <w:rPr>
          <w:b/>
          <w:sz w:val="24"/>
          <w:lang w:eastAsia="zh-CN"/>
        </w:rPr>
      </w:pPr>
      <w:r>
        <w:rPr>
          <w:rFonts w:hint="eastAsia"/>
          <w:b/>
          <w:sz w:val="24"/>
          <w:lang w:eastAsia="zh-CN"/>
        </w:rPr>
        <w:t>4.职业技能等级证书</w:t>
      </w:r>
    </w:p>
    <w:p>
      <w:pPr>
        <w:pStyle w:val="24"/>
        <w:keepNext w:val="0"/>
        <w:keepLines w:val="0"/>
        <w:pageBreakBefore w:val="0"/>
        <w:widowControl w:val="0"/>
        <w:tabs>
          <w:tab w:val="left" w:pos="1626"/>
        </w:tabs>
        <w:kinsoku/>
        <w:wordWrap/>
        <w:overflowPunct/>
        <w:topLinePunct w:val="0"/>
        <w:autoSpaceDE w:val="0"/>
        <w:autoSpaceDN w:val="0"/>
        <w:bidi w:val="0"/>
        <w:adjustRightInd w:val="0"/>
        <w:snapToGrid w:val="0"/>
        <w:spacing w:before="0" w:line="360" w:lineRule="auto"/>
        <w:ind w:left="0" w:firstLine="480" w:firstLineChars="200"/>
        <w:textAlignment w:val="auto"/>
        <w:rPr>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sz w:val="24"/>
          <w:szCs w:val="24"/>
          <w:lang w:eastAsia="zh-CN"/>
        </w:rPr>
      </w:pPr>
      <w:r>
        <w:rPr>
          <w:rFonts w:hint="eastAsia"/>
          <w:b/>
          <w:bCs/>
          <w:sz w:val="24"/>
          <w:szCs w:val="24"/>
          <w:lang w:eastAsia="zh-CN"/>
        </w:rPr>
        <w:t>（1）学分置换标准</w:t>
      </w:r>
    </w:p>
    <w:tbl>
      <w:tblPr>
        <w:tblStyle w:val="14"/>
        <w:tblW w:w="7636" w:type="dxa"/>
        <w:jc w:val="center"/>
        <w:tblLayout w:type="autofit"/>
        <w:tblCellMar>
          <w:top w:w="0" w:type="dxa"/>
          <w:left w:w="108" w:type="dxa"/>
          <w:bottom w:w="0" w:type="dxa"/>
          <w:right w:w="108" w:type="dxa"/>
        </w:tblCellMar>
      </w:tblPr>
      <w:tblGrid>
        <w:gridCol w:w="1782"/>
        <w:gridCol w:w="1364"/>
        <w:gridCol w:w="1364"/>
        <w:gridCol w:w="1762"/>
        <w:gridCol w:w="1364"/>
      </w:tblGrid>
      <w:tr>
        <w:tblPrEx>
          <w:tblCellMar>
            <w:top w:w="0" w:type="dxa"/>
            <w:left w:w="108" w:type="dxa"/>
            <w:bottom w:w="0" w:type="dxa"/>
            <w:right w:w="108" w:type="dxa"/>
          </w:tblCellMar>
        </w:tblPrEx>
        <w:trPr>
          <w:trHeight w:val="766" w:hRule="atLeast"/>
          <w:jc w:val="center"/>
        </w:trPr>
        <w:tc>
          <w:tcPr>
            <w:tcW w:w="178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338" w:hRule="atLeast"/>
          <w:jc w:val="center"/>
        </w:trPr>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职业技能等级证书、“1+X”证书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 xml:space="preserve">初级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bidi="ar"/>
              </w:rPr>
              <w:t>2</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tblPrEx>
          <w:tblCellMar>
            <w:top w:w="0" w:type="dxa"/>
            <w:left w:w="108" w:type="dxa"/>
            <w:bottom w:w="0" w:type="dxa"/>
            <w:right w:w="108" w:type="dxa"/>
          </w:tblCellMar>
        </w:tblPrEx>
        <w:trPr>
          <w:trHeight w:val="338"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中级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bidi="ar"/>
              </w:rPr>
              <w:t>4</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55"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bl>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说明：国家承认的职业资格证书，不分等级的，均置换4学分。</w:t>
      </w: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sz w:val="24"/>
          <w:szCs w:val="24"/>
          <w:lang w:eastAsia="zh-CN"/>
        </w:rPr>
      </w:pPr>
      <w:r>
        <w:rPr>
          <w:rFonts w:hint="eastAsia"/>
          <w:b/>
          <w:bCs/>
          <w:sz w:val="24"/>
          <w:szCs w:val="24"/>
          <w:lang w:eastAsia="zh-CN"/>
        </w:rPr>
        <w:t>（2）置换课程</w:t>
      </w:r>
    </w:p>
    <w:tbl>
      <w:tblPr>
        <w:tblStyle w:val="14"/>
        <w:tblW w:w="5366" w:type="dxa"/>
        <w:tblInd w:w="410" w:type="dxa"/>
        <w:tblLayout w:type="fixed"/>
        <w:tblCellMar>
          <w:top w:w="0" w:type="dxa"/>
          <w:left w:w="108" w:type="dxa"/>
          <w:bottom w:w="0" w:type="dxa"/>
          <w:right w:w="108" w:type="dxa"/>
        </w:tblCellMar>
      </w:tblPr>
      <w:tblGrid>
        <w:gridCol w:w="3904"/>
        <w:gridCol w:w="1462"/>
      </w:tblGrid>
      <w:tr>
        <w:trPr>
          <w:trHeight w:val="323" w:hRule="atLeast"/>
        </w:trPr>
        <w:tc>
          <w:tcPr>
            <w:tcW w:w="3904"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single" w:color="auto" w:sz="4"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48" w:hRule="atLeast"/>
        </w:trPr>
        <w:tc>
          <w:tcPr>
            <w:tcW w:w="39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1.网络营销</w:t>
            </w:r>
          </w:p>
        </w:tc>
        <w:tc>
          <w:tcPr>
            <w:tcW w:w="1462"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74" w:hRule="atLeast"/>
        </w:trPr>
        <w:tc>
          <w:tcPr>
            <w:tcW w:w="39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2.Excel物流应用教程</w:t>
            </w:r>
          </w:p>
        </w:tc>
        <w:tc>
          <w:tcPr>
            <w:tcW w:w="1462"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24" w:hRule="atLeast"/>
        </w:trPr>
        <w:tc>
          <w:tcPr>
            <w:tcW w:w="390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3.物流专业英语</w:t>
            </w:r>
          </w:p>
        </w:tc>
        <w:tc>
          <w:tcPr>
            <w:tcW w:w="1462" w:type="dxa"/>
            <w:tcBorders>
              <w:top w:val="nil"/>
              <w:left w:val="nil"/>
              <w:bottom w:val="single" w:color="auto" w:sz="4" w:space="0"/>
              <w:right w:val="single" w:color="000000" w:sz="8"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46" w:hRule="atLeast"/>
        </w:trPr>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4.短视频制作与剪辑</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56" w:hRule="atLeast"/>
        </w:trPr>
        <w:tc>
          <w:tcPr>
            <w:tcW w:w="390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color w:val="000000"/>
                <w:sz w:val="24"/>
                <w:szCs w:val="24"/>
                <w:lang w:eastAsia="zh-CN" w:bidi="ar"/>
              </w:rPr>
            </w:pPr>
            <w:r>
              <w:rPr>
                <w:rFonts w:hint="eastAsia"/>
                <w:color w:val="000000"/>
                <w:sz w:val="24"/>
                <w:szCs w:val="24"/>
                <w:lang w:val="en-US" w:eastAsia="zh-CN" w:bidi="ar"/>
              </w:rPr>
              <w:t>5.网店运营推广</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56" w:hRule="atLeast"/>
        </w:trPr>
        <w:tc>
          <w:tcPr>
            <w:tcW w:w="390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default"/>
                <w:color w:val="000000"/>
                <w:sz w:val="24"/>
                <w:szCs w:val="24"/>
                <w:lang w:val="en-US" w:eastAsia="zh-CN" w:bidi="ar"/>
              </w:rPr>
            </w:pPr>
            <w:r>
              <w:rPr>
                <w:rFonts w:hint="eastAsia"/>
                <w:color w:val="000000"/>
                <w:sz w:val="24"/>
                <w:szCs w:val="24"/>
                <w:lang w:val="en-US" w:eastAsia="zh-CN" w:bidi="ar"/>
              </w:rPr>
              <w:t>6.第三方物流管理</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56" w:hRule="atLeast"/>
        </w:trPr>
        <w:tc>
          <w:tcPr>
            <w:tcW w:w="390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7.物流中心设计与运作</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56" w:hRule="atLeast"/>
        </w:trPr>
        <w:tc>
          <w:tcPr>
            <w:tcW w:w="390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8.图形图像处理</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lang w:eastAsia="zh-CN"/>
              </w:rPr>
            </w:pPr>
          </w:p>
        </w:tc>
      </w:tr>
    </w:tbl>
    <w:p>
      <w:pPr>
        <w:pStyle w:val="24"/>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2" w:firstLineChars="200"/>
        <w:textAlignment w:val="auto"/>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5.参军入伍</w:t>
      </w:r>
    </w:p>
    <w:p>
      <w:pPr>
        <w:pStyle w:val="24"/>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大一或大二期间参军入伍且需重新返校学习的学生，须提供入伍期间关于思想政治、学习、工作方面所在部队出具的鉴定材料，经相关部门认定后可替代军事理论课和实习环节学分。此项按照绩点 3.0 进行学分置换。</w:t>
      </w:r>
    </w:p>
    <w:p>
      <w:pPr>
        <w:pStyle w:val="24"/>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2" w:firstLineChars="200"/>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6.在线课程学习</w:t>
      </w:r>
    </w:p>
    <w:p>
      <w:pPr>
        <w:pStyle w:val="24"/>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 3.5 进行学分置换。</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7.其他</w:t>
      </w:r>
    </w:p>
    <w:p>
      <w:pPr>
        <w:pStyle w:val="24"/>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0" w:firstLineChars="200"/>
        <w:textAlignment w:val="auto"/>
        <w:rPr>
          <w:rFonts w:hint="eastAsia" w:cs="宋体"/>
          <w:sz w:val="24"/>
          <w:szCs w:val="24"/>
          <w:lang w:val="en-US" w:eastAsia="zh-CN" w:bidi="ar-SA"/>
        </w:rPr>
      </w:pPr>
      <w:r>
        <w:rPr>
          <w:rFonts w:hint="eastAsia" w:ascii="宋体" w:hAnsi="宋体" w:eastAsia="宋体" w:cs="宋体"/>
          <w:sz w:val="24"/>
          <w:szCs w:val="24"/>
          <w:lang w:val="en-US" w:eastAsia="zh-CN" w:bidi="ar-SA"/>
        </w:rPr>
        <w:t>获得省级以上三好学生、</w:t>
      </w:r>
      <w:r>
        <w:rPr>
          <w:rFonts w:hint="eastAsia" w:cs="宋体"/>
          <w:sz w:val="24"/>
          <w:szCs w:val="24"/>
          <w:lang w:val="en-US" w:eastAsia="zh-CN" w:bidi="ar-SA"/>
        </w:rPr>
        <w:t>优秀学生干部、</w:t>
      </w:r>
      <w:r>
        <w:rPr>
          <w:rFonts w:hint="eastAsia" w:ascii="宋体" w:hAnsi="宋体" w:eastAsia="宋体" w:cs="宋体"/>
          <w:sz w:val="24"/>
          <w:szCs w:val="24"/>
          <w:lang w:val="en-US" w:eastAsia="zh-CN" w:bidi="ar-SA"/>
        </w:rPr>
        <w:t>优秀团干等荣誉称号的</w:t>
      </w:r>
      <w:r>
        <w:rPr>
          <w:rFonts w:hint="eastAsia" w:cs="宋体"/>
          <w:sz w:val="24"/>
          <w:szCs w:val="24"/>
          <w:lang w:val="en-US" w:eastAsia="zh-CN" w:bidi="ar-SA"/>
        </w:rPr>
        <w:t>计</w:t>
      </w:r>
      <w:r>
        <w:rPr>
          <w:rFonts w:hint="eastAsia" w:ascii="宋体" w:hAnsi="宋体" w:eastAsia="宋体" w:cs="宋体"/>
          <w:sz w:val="24"/>
          <w:szCs w:val="24"/>
          <w:lang w:val="en-US" w:eastAsia="zh-CN" w:bidi="ar-SA"/>
        </w:rPr>
        <w:t>1学分</w:t>
      </w:r>
      <w:r>
        <w:rPr>
          <w:rFonts w:hint="eastAsia" w:cs="宋体"/>
          <w:sz w:val="24"/>
          <w:szCs w:val="24"/>
          <w:lang w:val="en-US" w:eastAsia="zh-CN" w:bidi="ar-SA"/>
        </w:rPr>
        <w:t>；</w:t>
      </w:r>
    </w:p>
    <w:p>
      <w:pPr>
        <w:pStyle w:val="24"/>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0" w:firstLineChars="200"/>
        <w:textAlignment w:val="auto"/>
        <w:rPr>
          <w:rFonts w:hint="default" w:cs="宋体"/>
          <w:sz w:val="24"/>
          <w:szCs w:val="24"/>
          <w:lang w:val="en-US" w:eastAsia="zh-CN" w:bidi="ar-SA"/>
        </w:rPr>
      </w:pPr>
      <w:r>
        <w:rPr>
          <w:rFonts w:hint="eastAsia" w:cs="宋体"/>
          <w:sz w:val="24"/>
          <w:szCs w:val="24"/>
          <w:lang w:val="en-US" w:eastAsia="zh-CN" w:bidi="ar-SA"/>
        </w:rPr>
        <w:t>有重大立功表现者计2分。</w:t>
      </w:r>
    </w:p>
    <w:p>
      <w:pPr>
        <w:pStyle w:val="24"/>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0" w:firstLineChars="200"/>
        <w:textAlignment w:val="auto"/>
        <w:rPr>
          <w:rFonts w:hint="default" w:cs="宋体"/>
          <w:sz w:val="24"/>
          <w:szCs w:val="24"/>
          <w:lang w:val="en-US" w:eastAsia="zh-CN" w:bidi="ar-SA"/>
        </w:rPr>
      </w:pPr>
    </w:p>
    <w:p>
      <w:pPr>
        <w:rPr>
          <w:sz w:val="24"/>
          <w:lang w:eastAsia="zh-CN"/>
        </w:rPr>
      </w:pPr>
      <w:r>
        <w:rPr>
          <w:rFonts w:hint="eastAsia"/>
          <w:sz w:val="24"/>
          <w:lang w:eastAsia="zh-CN"/>
        </w:rPr>
        <w:br w:type="page"/>
      </w:r>
    </w:p>
    <w:p>
      <w:pPr>
        <w:adjustRightInd w:val="0"/>
        <w:snapToGrid w:val="0"/>
        <w:spacing w:line="360" w:lineRule="auto"/>
        <w:ind w:firstLine="482" w:firstLineChars="200"/>
        <w:outlineLvl w:val="0"/>
        <w:rPr>
          <w:rStyle w:val="21"/>
          <w:rFonts w:ascii="黑体" w:hAnsi="黑体" w:eastAsia="黑体" w:cs="黑体"/>
        </w:rPr>
      </w:pPr>
      <w:bookmarkStart w:id="50" w:name="_Toc25962"/>
      <w:r>
        <w:rPr>
          <w:rStyle w:val="21"/>
          <w:rFonts w:hint="eastAsia" w:ascii="黑体" w:hAnsi="黑体" w:eastAsia="黑体" w:cs="黑体"/>
          <w:lang w:eastAsia="zh-CN"/>
        </w:rPr>
        <w:t>附件五：菏泽职业学院人才培养方案审核意见表</w:t>
      </w:r>
      <w:bookmarkEnd w:id="50"/>
    </w:p>
    <w:p>
      <w:pPr>
        <w:jc w:val="center"/>
        <w:rPr>
          <w:sz w:val="36"/>
          <w:szCs w:val="36"/>
          <w:lang w:eastAsia="zh-CN"/>
        </w:rPr>
      </w:pPr>
      <w:r>
        <w:rPr>
          <w:rFonts w:hint="eastAsia"/>
          <w:sz w:val="36"/>
          <w:szCs w:val="36"/>
          <w:lang w:eastAsia="zh-CN"/>
        </w:rPr>
        <w:t>菏泽职业学院人才培养方案审核意见表</w:t>
      </w:r>
    </w:p>
    <w:p>
      <w:pPr>
        <w:rPr>
          <w:rStyle w:val="21"/>
          <w:rFonts w:ascii="黑体" w:hAnsi="黑体" w:eastAsia="黑体" w:cs="黑体"/>
          <w:lang w:eastAsia="zh-CN"/>
        </w:rPr>
      </w:pPr>
    </w:p>
    <w:tbl>
      <w:tblPr>
        <w:tblStyle w:val="14"/>
        <w:tblW w:w="8632" w:type="dxa"/>
        <w:tblInd w:w="93" w:type="dxa"/>
        <w:tblLayout w:type="autofit"/>
        <w:tblCellMar>
          <w:top w:w="0" w:type="dxa"/>
          <w:left w:w="108" w:type="dxa"/>
          <w:bottom w:w="0" w:type="dxa"/>
          <w:right w:w="108" w:type="dxa"/>
        </w:tblCellMar>
      </w:tblPr>
      <w:tblGrid>
        <w:gridCol w:w="1365"/>
        <w:gridCol w:w="2745"/>
        <w:gridCol w:w="1575"/>
        <w:gridCol w:w="2947"/>
      </w:tblGrid>
      <w:tr>
        <w:tblPrEx>
          <w:tblCellMar>
            <w:top w:w="0" w:type="dxa"/>
            <w:left w:w="108" w:type="dxa"/>
            <w:bottom w:w="0" w:type="dxa"/>
            <w:right w:w="108" w:type="dxa"/>
          </w:tblCellMar>
        </w:tblPrEx>
        <w:trPr>
          <w:trHeight w:val="63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620" w:hRule="atLeast"/>
        </w:trPr>
        <w:tc>
          <w:tcPr>
            <w:tcW w:w="13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op w:val="nil"/>
              <w:left w:val="nil"/>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nil"/>
              <w:left w:val="single" w:color="auto" w:sz="4"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专业负责人</w:t>
            </w:r>
          </w:p>
        </w:tc>
        <w:tc>
          <w:tcPr>
            <w:tcW w:w="2947"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系部审核意见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pPr>
              <w:widowControl/>
              <w:jc w:val="right"/>
              <w:textAlignment w:val="top"/>
              <w:rPr>
                <w:color w:val="000000"/>
                <w:sz w:val="24"/>
                <w:szCs w:val="24"/>
                <w:lang w:eastAsia="zh-CN" w:bidi="ar"/>
              </w:rPr>
            </w:pPr>
          </w:p>
          <w:p>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570"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ind w:left="4077" w:leftChars="1853"/>
              <w:jc w:val="both"/>
              <w:textAlignment w:val="top"/>
              <w:rPr>
                <w:color w:val="000000"/>
                <w:sz w:val="24"/>
                <w:szCs w:val="24"/>
                <w:lang w:eastAsia="zh-CN" w:bidi="ar"/>
              </w:rPr>
            </w:pPr>
            <w:r>
              <w:rPr>
                <w:rFonts w:hint="eastAsia"/>
                <w:color w:val="000000"/>
                <w:sz w:val="24"/>
                <w:szCs w:val="24"/>
                <w:lang w:eastAsia="zh-CN" w:bidi="ar"/>
              </w:rPr>
              <w:t xml:space="preserve">   部门（章）：</w:t>
            </w:r>
          </w:p>
          <w:p>
            <w:pPr>
              <w:widowControl/>
              <w:ind w:firstLine="4080" w:firstLineChars="1700"/>
              <w:jc w:val="both"/>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600"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rFonts w:hint="eastAsia"/>
                <w:color w:val="000000"/>
                <w:sz w:val="24"/>
                <w:szCs w:val="24"/>
                <w:lang w:eastAsia="zh-CN" w:bidi="ar"/>
              </w:rPr>
            </w:pPr>
            <w:r>
              <w:rPr>
                <w:rFonts w:hint="eastAsia"/>
                <w:color w:val="000000"/>
                <w:sz w:val="24"/>
                <w:szCs w:val="24"/>
                <w:lang w:eastAsia="zh-CN" w:bidi="ar"/>
              </w:rPr>
              <w:t xml:space="preserve">                            部门（章）：</w:t>
            </w:r>
          </w:p>
          <w:p>
            <w:pPr>
              <w:widowControl/>
              <w:jc w:val="center"/>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bl>
    <w:p>
      <w:pPr>
        <w:rPr>
          <w:rStyle w:val="21"/>
          <w:rFonts w:ascii="黑体" w:hAnsi="黑体" w:eastAsia="黑体" w:cs="黑体"/>
          <w:lang w:eastAsia="zh-CN"/>
        </w:rPr>
      </w:pPr>
    </w:p>
    <w:p>
      <w:pPr>
        <w:pStyle w:val="7"/>
        <w:adjustRightInd w:val="0"/>
        <w:snapToGrid w:val="0"/>
        <w:spacing w:line="360" w:lineRule="auto"/>
        <w:ind w:firstLine="480" w:firstLineChars="200"/>
        <w:rPr>
          <w:sz w:val="24"/>
          <w:szCs w:val="24"/>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9921240</wp:posOffset>
              </wp:positionV>
              <wp:extent cx="107950" cy="152400"/>
              <wp:effectExtent l="0" t="0" r="0" b="0"/>
              <wp:wrapNone/>
              <wp:docPr id="44"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293.45pt;margin-top:781.2pt;height:12pt;width:8.5pt;mso-position-horizontal-relative:page;mso-position-vertical-relative:page;z-index:-251657216;mso-width-relative:page;mso-height-relative:page;" filled="f" stroked="f" coordsize="21600,21600" o:gfxdata="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hdIHaAAAADQEAAA8AAAAAAAAAAQAgAAAAIgAAAGRycy9kb3du&#10;cmV2LnhtbFBLAQIUABQAAAAIAIdO4kDbcAmc/QEAAAUEAAAOAAAAAAAAAAEAIAAAACkBAABkcnMv&#10;ZTJvRG9jLnhtbFBLBQYAAAAABgAGAFkBAACY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Fonts w:ascii="Times New Roman" w:hAnsi="Times New Roman"/>
        <w:sz w:val="21"/>
        <w:szCs w:val="21"/>
      </w:rPr>
    </w:pPr>
    <w:r>
      <w:rPr>
        <w:rStyle w:val="17"/>
        <w:rFonts w:ascii="Times New Roman" w:hAnsi="Times New Roman"/>
        <w:sz w:val="21"/>
        <w:szCs w:val="21"/>
      </w:rPr>
      <w:fldChar w:fldCharType="begin"/>
    </w:r>
    <w:r>
      <w:rPr>
        <w:rStyle w:val="17"/>
        <w:rFonts w:ascii="Times New Roman" w:hAnsi="Times New Roman"/>
        <w:sz w:val="21"/>
        <w:szCs w:val="21"/>
      </w:rPr>
      <w:instrText xml:space="preserve">PAGE  </w:instrText>
    </w:r>
    <w:r>
      <w:rPr>
        <w:rStyle w:val="17"/>
        <w:rFonts w:ascii="Times New Roman" w:hAnsi="Times New Roman"/>
        <w:sz w:val="21"/>
        <w:szCs w:val="21"/>
      </w:rPr>
      <w:fldChar w:fldCharType="separate"/>
    </w:r>
    <w:r>
      <w:rPr>
        <w:rStyle w:val="17"/>
        <w:rFonts w:ascii="Times New Roman" w:hAnsi="Times New Roman"/>
        <w:sz w:val="21"/>
        <w:szCs w:val="21"/>
      </w:rPr>
      <w:t>14</w:t>
    </w:r>
    <w:r>
      <w:rPr>
        <w:rStyle w:val="17"/>
        <w:rFonts w:ascii="Times New Roman" w:hAnsi="Times New Roman"/>
        <w:sz w:val="21"/>
        <w:szCs w:val="21"/>
      </w:rPr>
      <w:fldChar w:fldCharType="end"/>
    </w:r>
  </w:p>
  <w:p>
    <w:pPr>
      <w:pStyle w:val="9"/>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4144;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lang w:eastAsia="zh-CN"/>
      </w:rPr>
    </w:pPr>
    <w:r>
      <w:rPr>
        <w:rFonts w:hint="eastAsia"/>
        <w:lang w:val="en-US" w:eastAsia="zh-CN"/>
      </w:rPr>
      <w:t>现代物流管理</w:t>
    </w:r>
    <w:r>
      <w:rPr>
        <w:rFonts w:hint="eastAsia"/>
        <w:lang w:eastAsia="zh-CN"/>
      </w:rPr>
      <w:t>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00.2pt;mso-position-horizontal-relative:page;mso-position-vertical-relative:page;z-index:-251656192;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val="en-US" w:eastAsia="zh-CN"/>
                            </w:rPr>
                            <w:t>现代物流管理</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5168;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val="en-US" w:eastAsia="zh-CN"/>
                      </w:rPr>
                      <w:t>现代物流管理</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BB85C"/>
    <w:multiLevelType w:val="singleLevel"/>
    <w:tmpl w:val="9D0BB85C"/>
    <w:lvl w:ilvl="0" w:tentative="0">
      <w:start w:val="1"/>
      <w:numFmt w:val="decimal"/>
      <w:lvlText w:val="%1."/>
      <w:lvlJc w:val="left"/>
      <w:pPr>
        <w:tabs>
          <w:tab w:val="left" w:pos="312"/>
        </w:tabs>
      </w:pPr>
    </w:lvl>
  </w:abstractNum>
  <w:abstractNum w:abstractNumId="1">
    <w:nsid w:val="9DAF0D46"/>
    <w:multiLevelType w:val="singleLevel"/>
    <w:tmpl w:val="9DAF0D46"/>
    <w:lvl w:ilvl="0" w:tentative="0">
      <w:start w:val="1"/>
      <w:numFmt w:val="decimal"/>
      <w:suff w:val="nothing"/>
      <w:lvlText w:val="（%1）"/>
      <w:lvlJc w:val="left"/>
    </w:lvl>
  </w:abstractNum>
  <w:abstractNum w:abstractNumId="2">
    <w:nsid w:val="D4D5DAFF"/>
    <w:multiLevelType w:val="singleLevel"/>
    <w:tmpl w:val="D4D5DAFF"/>
    <w:lvl w:ilvl="0" w:tentative="0">
      <w:start w:val="1"/>
      <w:numFmt w:val="chineseCounting"/>
      <w:suff w:val="nothing"/>
      <w:lvlText w:val="第%1、"/>
      <w:lvlJc w:val="left"/>
      <w:rPr>
        <w:rFonts w:hint="eastAsia"/>
      </w:rPr>
    </w:lvl>
  </w:abstractNum>
  <w:abstractNum w:abstractNumId="3">
    <w:nsid w:val="1B402E43"/>
    <w:multiLevelType w:val="multilevel"/>
    <w:tmpl w:val="1B402E43"/>
    <w:lvl w:ilvl="0" w:tentative="0">
      <w:start w:val="1"/>
      <w:numFmt w:val="upperLetter"/>
      <w:lvlText w:val="%1、"/>
      <w:lvlJc w:val="left"/>
      <w:pPr>
        <w:tabs>
          <w:tab w:val="left" w:pos="720"/>
        </w:tabs>
        <w:ind w:left="72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D93DA0"/>
    <w:multiLevelType w:val="multilevel"/>
    <w:tmpl w:val="28D93DA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D96B69D"/>
    <w:multiLevelType w:val="singleLevel"/>
    <w:tmpl w:val="2D96B69D"/>
    <w:lvl w:ilvl="0" w:tentative="0">
      <w:start w:val="1"/>
      <w:numFmt w:val="decimal"/>
      <w:suff w:val="nothing"/>
      <w:lvlText w:val="（%1）"/>
      <w:lvlJc w:val="left"/>
    </w:lvl>
  </w:abstractNum>
  <w:abstractNum w:abstractNumId="6">
    <w:nsid w:val="48437D70"/>
    <w:multiLevelType w:val="multilevel"/>
    <w:tmpl w:val="48437D7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A90E33C"/>
    <w:multiLevelType w:val="singleLevel"/>
    <w:tmpl w:val="5A90E33C"/>
    <w:lvl w:ilvl="0" w:tentative="0">
      <w:start w:val="1"/>
      <w:numFmt w:val="decimal"/>
      <w:lvlText w:val="%1."/>
      <w:lvlJc w:val="left"/>
      <w:pPr>
        <w:tabs>
          <w:tab w:val="left" w:pos="312"/>
        </w:tabs>
      </w:pPr>
    </w:lvl>
  </w:abstractNum>
  <w:abstractNum w:abstractNumId="8">
    <w:nsid w:val="75F042EE"/>
    <w:multiLevelType w:val="multilevel"/>
    <w:tmpl w:val="75F042E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4"/>
  </w:num>
  <w:num w:numId="2">
    <w:abstractNumId w:val="8"/>
  </w:num>
  <w:num w:numId="3">
    <w:abstractNumId w:val="6"/>
  </w:num>
  <w:num w:numId="4">
    <w:abstractNumId w:val="2"/>
  </w:num>
  <w:num w:numId="5">
    <w:abstractNumId w:val="0"/>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B62E6"/>
    <w:rsid w:val="001D5A6A"/>
    <w:rsid w:val="00291C44"/>
    <w:rsid w:val="002B50CA"/>
    <w:rsid w:val="00505381"/>
    <w:rsid w:val="00607BC8"/>
    <w:rsid w:val="006C60AA"/>
    <w:rsid w:val="0076336C"/>
    <w:rsid w:val="009D5186"/>
    <w:rsid w:val="00AD7C46"/>
    <w:rsid w:val="00B11281"/>
    <w:rsid w:val="00BA461B"/>
    <w:rsid w:val="00E56AD7"/>
    <w:rsid w:val="012C4F80"/>
    <w:rsid w:val="01603C81"/>
    <w:rsid w:val="01FE40FB"/>
    <w:rsid w:val="025D5691"/>
    <w:rsid w:val="02975953"/>
    <w:rsid w:val="02CF63A5"/>
    <w:rsid w:val="02DA0B71"/>
    <w:rsid w:val="032D73D4"/>
    <w:rsid w:val="03981B02"/>
    <w:rsid w:val="03DB0631"/>
    <w:rsid w:val="03F87B49"/>
    <w:rsid w:val="04A4787D"/>
    <w:rsid w:val="05280514"/>
    <w:rsid w:val="052C5F1E"/>
    <w:rsid w:val="05AE01A3"/>
    <w:rsid w:val="05BB37A1"/>
    <w:rsid w:val="05EA070A"/>
    <w:rsid w:val="060F305A"/>
    <w:rsid w:val="065647D7"/>
    <w:rsid w:val="066709FE"/>
    <w:rsid w:val="0680641A"/>
    <w:rsid w:val="06895612"/>
    <w:rsid w:val="06B02B9A"/>
    <w:rsid w:val="06C12A24"/>
    <w:rsid w:val="07153C1E"/>
    <w:rsid w:val="085602B5"/>
    <w:rsid w:val="08731AA4"/>
    <w:rsid w:val="08741D49"/>
    <w:rsid w:val="0912341E"/>
    <w:rsid w:val="091F7B00"/>
    <w:rsid w:val="093028BD"/>
    <w:rsid w:val="09666CA4"/>
    <w:rsid w:val="09BD06D0"/>
    <w:rsid w:val="0AC71F24"/>
    <w:rsid w:val="0B491809"/>
    <w:rsid w:val="0BDE290F"/>
    <w:rsid w:val="0C5D7E67"/>
    <w:rsid w:val="0C8B7FA8"/>
    <w:rsid w:val="0D563E28"/>
    <w:rsid w:val="0DED1C7B"/>
    <w:rsid w:val="0DF00886"/>
    <w:rsid w:val="0ED40530"/>
    <w:rsid w:val="0F370B5C"/>
    <w:rsid w:val="0F874D57"/>
    <w:rsid w:val="0FA16CFE"/>
    <w:rsid w:val="0FD22FB8"/>
    <w:rsid w:val="10892A53"/>
    <w:rsid w:val="11313ED1"/>
    <w:rsid w:val="11F56C97"/>
    <w:rsid w:val="12BA681D"/>
    <w:rsid w:val="1305796D"/>
    <w:rsid w:val="138818C6"/>
    <w:rsid w:val="14085243"/>
    <w:rsid w:val="145614D3"/>
    <w:rsid w:val="14DB1113"/>
    <w:rsid w:val="154B7640"/>
    <w:rsid w:val="15822729"/>
    <w:rsid w:val="1594227C"/>
    <w:rsid w:val="15B11729"/>
    <w:rsid w:val="15D855A6"/>
    <w:rsid w:val="15FE5AF2"/>
    <w:rsid w:val="169E5A6A"/>
    <w:rsid w:val="16B45388"/>
    <w:rsid w:val="16CB6F17"/>
    <w:rsid w:val="178F113B"/>
    <w:rsid w:val="17E113FB"/>
    <w:rsid w:val="181066F3"/>
    <w:rsid w:val="187E0132"/>
    <w:rsid w:val="191C2F3A"/>
    <w:rsid w:val="1A395967"/>
    <w:rsid w:val="1A81356C"/>
    <w:rsid w:val="1B02274A"/>
    <w:rsid w:val="1B052A15"/>
    <w:rsid w:val="1C2E7206"/>
    <w:rsid w:val="1C390E6C"/>
    <w:rsid w:val="1C430409"/>
    <w:rsid w:val="1C911C80"/>
    <w:rsid w:val="1D987C55"/>
    <w:rsid w:val="1DCD36C1"/>
    <w:rsid w:val="1DE710E4"/>
    <w:rsid w:val="1E9738D7"/>
    <w:rsid w:val="1EE35F08"/>
    <w:rsid w:val="1F3E73F1"/>
    <w:rsid w:val="1F450020"/>
    <w:rsid w:val="1FC0010E"/>
    <w:rsid w:val="202D7CAE"/>
    <w:rsid w:val="215D1727"/>
    <w:rsid w:val="23680231"/>
    <w:rsid w:val="23937CA9"/>
    <w:rsid w:val="247B6CFD"/>
    <w:rsid w:val="24F97A38"/>
    <w:rsid w:val="252338A0"/>
    <w:rsid w:val="25F15A72"/>
    <w:rsid w:val="277B2CCD"/>
    <w:rsid w:val="27912F05"/>
    <w:rsid w:val="28D83E9E"/>
    <w:rsid w:val="29691CE8"/>
    <w:rsid w:val="2977431B"/>
    <w:rsid w:val="2A42524D"/>
    <w:rsid w:val="2A982C19"/>
    <w:rsid w:val="2AA05C69"/>
    <w:rsid w:val="2CE819F4"/>
    <w:rsid w:val="2D284D94"/>
    <w:rsid w:val="2D79324A"/>
    <w:rsid w:val="2D8C377A"/>
    <w:rsid w:val="2D9C1D00"/>
    <w:rsid w:val="2DC23CF6"/>
    <w:rsid w:val="2E606547"/>
    <w:rsid w:val="2E86608B"/>
    <w:rsid w:val="2EA81B01"/>
    <w:rsid w:val="2EBB4419"/>
    <w:rsid w:val="2FFF271C"/>
    <w:rsid w:val="31164B64"/>
    <w:rsid w:val="3151635E"/>
    <w:rsid w:val="315D32B6"/>
    <w:rsid w:val="318A03CF"/>
    <w:rsid w:val="318F6974"/>
    <w:rsid w:val="320C2639"/>
    <w:rsid w:val="320F1B22"/>
    <w:rsid w:val="32250D46"/>
    <w:rsid w:val="331774E4"/>
    <w:rsid w:val="33DD5112"/>
    <w:rsid w:val="35151BC1"/>
    <w:rsid w:val="354E241B"/>
    <w:rsid w:val="35915DBE"/>
    <w:rsid w:val="35B45284"/>
    <w:rsid w:val="362C6E6C"/>
    <w:rsid w:val="362E1BA8"/>
    <w:rsid w:val="369D1BDF"/>
    <w:rsid w:val="376B546A"/>
    <w:rsid w:val="3898470A"/>
    <w:rsid w:val="39462080"/>
    <w:rsid w:val="39472378"/>
    <w:rsid w:val="39917232"/>
    <w:rsid w:val="39DA79B8"/>
    <w:rsid w:val="3ACD4B89"/>
    <w:rsid w:val="3AF60540"/>
    <w:rsid w:val="3BB85CBD"/>
    <w:rsid w:val="3C9D606E"/>
    <w:rsid w:val="3D0F5D3F"/>
    <w:rsid w:val="3DA32588"/>
    <w:rsid w:val="3DE662D5"/>
    <w:rsid w:val="3E760878"/>
    <w:rsid w:val="3EEB6BE0"/>
    <w:rsid w:val="3F53307C"/>
    <w:rsid w:val="400A1AB3"/>
    <w:rsid w:val="400B6250"/>
    <w:rsid w:val="4047211B"/>
    <w:rsid w:val="41034960"/>
    <w:rsid w:val="41A93E10"/>
    <w:rsid w:val="41E44322"/>
    <w:rsid w:val="41E44BAD"/>
    <w:rsid w:val="42834A59"/>
    <w:rsid w:val="42EF2A55"/>
    <w:rsid w:val="43144393"/>
    <w:rsid w:val="4365491F"/>
    <w:rsid w:val="438308A4"/>
    <w:rsid w:val="43A0565C"/>
    <w:rsid w:val="442E6122"/>
    <w:rsid w:val="4438319A"/>
    <w:rsid w:val="451B7A55"/>
    <w:rsid w:val="454B1723"/>
    <w:rsid w:val="456E0C13"/>
    <w:rsid w:val="486A0A26"/>
    <w:rsid w:val="48CD22F9"/>
    <w:rsid w:val="48E43F8A"/>
    <w:rsid w:val="490D27F8"/>
    <w:rsid w:val="493374CD"/>
    <w:rsid w:val="4AE83C35"/>
    <w:rsid w:val="4B2D5CE0"/>
    <w:rsid w:val="4B3E049C"/>
    <w:rsid w:val="4BCD5542"/>
    <w:rsid w:val="4C0F67AD"/>
    <w:rsid w:val="4C346F0F"/>
    <w:rsid w:val="4C947F55"/>
    <w:rsid w:val="4CBE1C1E"/>
    <w:rsid w:val="4D0F03CF"/>
    <w:rsid w:val="4D324BCA"/>
    <w:rsid w:val="4DA4699A"/>
    <w:rsid w:val="4DAB2B43"/>
    <w:rsid w:val="4E234AD2"/>
    <w:rsid w:val="4E3508DA"/>
    <w:rsid w:val="4E8D4065"/>
    <w:rsid w:val="4EC55860"/>
    <w:rsid w:val="4F4609EE"/>
    <w:rsid w:val="51915B08"/>
    <w:rsid w:val="51D3719B"/>
    <w:rsid w:val="51E10996"/>
    <w:rsid w:val="52440E87"/>
    <w:rsid w:val="52891D2E"/>
    <w:rsid w:val="52C96D94"/>
    <w:rsid w:val="53464821"/>
    <w:rsid w:val="53590EC5"/>
    <w:rsid w:val="54817E09"/>
    <w:rsid w:val="54DB38ED"/>
    <w:rsid w:val="54F21F7C"/>
    <w:rsid w:val="553D1742"/>
    <w:rsid w:val="55664500"/>
    <w:rsid w:val="557A3E8A"/>
    <w:rsid w:val="56C73F32"/>
    <w:rsid w:val="57310A21"/>
    <w:rsid w:val="57372FB5"/>
    <w:rsid w:val="57C329AE"/>
    <w:rsid w:val="57C805E4"/>
    <w:rsid w:val="57C95A58"/>
    <w:rsid w:val="58492FA7"/>
    <w:rsid w:val="586E10E0"/>
    <w:rsid w:val="58EC7061"/>
    <w:rsid w:val="5934708A"/>
    <w:rsid w:val="59C70030"/>
    <w:rsid w:val="5A02139D"/>
    <w:rsid w:val="5A53094C"/>
    <w:rsid w:val="5A785E3F"/>
    <w:rsid w:val="5A7E32FE"/>
    <w:rsid w:val="5B4B7679"/>
    <w:rsid w:val="5C2E563D"/>
    <w:rsid w:val="5CDA5D00"/>
    <w:rsid w:val="5E5072AC"/>
    <w:rsid w:val="5F925DFA"/>
    <w:rsid w:val="604D711D"/>
    <w:rsid w:val="606F5CAC"/>
    <w:rsid w:val="60707DF2"/>
    <w:rsid w:val="60711C11"/>
    <w:rsid w:val="61777CAB"/>
    <w:rsid w:val="621D50A9"/>
    <w:rsid w:val="62E5797E"/>
    <w:rsid w:val="63ED70D7"/>
    <w:rsid w:val="642B35D1"/>
    <w:rsid w:val="64793F7E"/>
    <w:rsid w:val="65CD580C"/>
    <w:rsid w:val="66873E71"/>
    <w:rsid w:val="66AA6210"/>
    <w:rsid w:val="66BA3877"/>
    <w:rsid w:val="66EA6E11"/>
    <w:rsid w:val="67AF7763"/>
    <w:rsid w:val="67E451FD"/>
    <w:rsid w:val="68130854"/>
    <w:rsid w:val="68DB7109"/>
    <w:rsid w:val="68F15BD6"/>
    <w:rsid w:val="691E490D"/>
    <w:rsid w:val="69B45129"/>
    <w:rsid w:val="69FC1C08"/>
    <w:rsid w:val="6A3506F9"/>
    <w:rsid w:val="6A386EC3"/>
    <w:rsid w:val="6B297BF3"/>
    <w:rsid w:val="6B2B137E"/>
    <w:rsid w:val="6B5560D9"/>
    <w:rsid w:val="6BE70042"/>
    <w:rsid w:val="6C847AAE"/>
    <w:rsid w:val="6C9865B3"/>
    <w:rsid w:val="6E6C3784"/>
    <w:rsid w:val="6EC26947"/>
    <w:rsid w:val="6FDC3D0F"/>
    <w:rsid w:val="7010529A"/>
    <w:rsid w:val="704E541F"/>
    <w:rsid w:val="70D3510C"/>
    <w:rsid w:val="70E4037D"/>
    <w:rsid w:val="71443665"/>
    <w:rsid w:val="718357A6"/>
    <w:rsid w:val="72A50CE0"/>
    <w:rsid w:val="73CB006F"/>
    <w:rsid w:val="74717B3F"/>
    <w:rsid w:val="75AB5512"/>
    <w:rsid w:val="76E823F0"/>
    <w:rsid w:val="773F739D"/>
    <w:rsid w:val="77D875BB"/>
    <w:rsid w:val="783F7A72"/>
    <w:rsid w:val="7843749E"/>
    <w:rsid w:val="78CE1186"/>
    <w:rsid w:val="792E3549"/>
    <w:rsid w:val="7956206B"/>
    <w:rsid w:val="7A483E25"/>
    <w:rsid w:val="7A5354FD"/>
    <w:rsid w:val="7A881AA5"/>
    <w:rsid w:val="7B052376"/>
    <w:rsid w:val="7B5B37A6"/>
    <w:rsid w:val="7C764B81"/>
    <w:rsid w:val="7CC95726"/>
    <w:rsid w:val="7D444F69"/>
    <w:rsid w:val="7DD15C17"/>
    <w:rsid w:val="7E1C5C77"/>
    <w:rsid w:val="7E1F25C7"/>
    <w:rsid w:val="7E4E6B35"/>
    <w:rsid w:val="7FF0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outlineLvl w:val="0"/>
    </w:pPr>
    <w:rPr>
      <w:sz w:val="30"/>
      <w:szCs w:val="30"/>
    </w:rPr>
  </w:style>
  <w:style w:type="paragraph" w:styleId="3">
    <w:name w:val="heading 2"/>
    <w:basedOn w:val="1"/>
    <w:next w:val="1"/>
    <w:link w:val="21"/>
    <w:qFormat/>
    <w:uiPriority w:val="1"/>
    <w:pPr>
      <w:spacing w:before="108"/>
      <w:ind w:left="1987"/>
      <w:outlineLvl w:val="1"/>
    </w:pPr>
    <w:rPr>
      <w:b/>
      <w:bCs/>
      <w:sz w:val="24"/>
      <w:szCs w:val="24"/>
    </w:rPr>
  </w:style>
  <w:style w:type="paragraph" w:styleId="4">
    <w:name w:val="heading 3"/>
    <w:basedOn w:val="1"/>
    <w:next w:val="1"/>
    <w:qFormat/>
    <w:uiPriority w:val="1"/>
    <w:pPr>
      <w:spacing w:before="160"/>
      <w:ind w:left="900"/>
      <w:outlineLvl w:val="2"/>
    </w:pPr>
    <w:rPr>
      <w:sz w:val="24"/>
      <w:szCs w:val="24"/>
    </w:rPr>
  </w:style>
  <w:style w:type="paragraph" w:styleId="5">
    <w:name w:val="heading 4"/>
    <w:basedOn w:val="1"/>
    <w:next w:val="1"/>
    <w:qFormat/>
    <w:uiPriority w:val="1"/>
    <w:pPr>
      <w:ind w:left="1341"/>
      <w:outlineLvl w:val="3"/>
    </w:pPr>
    <w:rPr>
      <w:b/>
      <w:bC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qFormat/>
    <w:uiPriority w:val="0"/>
  </w:style>
  <w:style w:type="paragraph" w:styleId="7">
    <w:name w:val="Body Text"/>
    <w:basedOn w:val="1"/>
    <w:qFormat/>
    <w:uiPriority w:val="1"/>
  </w:style>
  <w:style w:type="paragraph" w:styleId="8">
    <w:name w:val="Balloon Text"/>
    <w:basedOn w:val="1"/>
    <w:link w:val="29"/>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annotation subject"/>
    <w:basedOn w:val="6"/>
    <w:next w:val="6"/>
    <w:link w:val="31"/>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styleId="18">
    <w:name w:val="annotation reference"/>
    <w:basedOn w:val="16"/>
    <w:qFormat/>
    <w:uiPriority w:val="0"/>
    <w:rPr>
      <w:sz w:val="21"/>
      <w:szCs w:val="21"/>
    </w:rPr>
  </w:style>
  <w:style w:type="paragraph" w:customStyle="1" w:styleId="19">
    <w:name w:val="Table Paragraph"/>
    <w:basedOn w:val="1"/>
    <w:qFormat/>
    <w:uiPriority w:val="1"/>
  </w:style>
  <w:style w:type="table" w:customStyle="1" w:styleId="20">
    <w:name w:val="Table Normal"/>
    <w:semiHidden/>
    <w:unhideWhenUsed/>
    <w:qFormat/>
    <w:uiPriority w:val="2"/>
    <w:tblPr>
      <w:tblCellMar>
        <w:top w:w="0" w:type="dxa"/>
        <w:left w:w="0" w:type="dxa"/>
        <w:bottom w:w="0" w:type="dxa"/>
        <w:right w:w="0" w:type="dxa"/>
      </w:tblCellMar>
    </w:tblPr>
  </w:style>
  <w:style w:type="character" w:customStyle="1" w:styleId="21">
    <w:name w:val="标题 2 Char"/>
    <w:link w:val="3"/>
    <w:qFormat/>
    <w:uiPriority w:val="0"/>
    <w:rPr>
      <w:b/>
      <w:bCs/>
      <w:sz w:val="24"/>
      <w:szCs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styleId="24">
    <w:name w:val="List Paragraph"/>
    <w:basedOn w:val="1"/>
    <w:qFormat/>
    <w:uiPriority w:val="1"/>
    <w:pPr>
      <w:spacing w:before="145"/>
      <w:ind w:left="1891" w:hanging="553"/>
    </w:pPr>
  </w:style>
  <w:style w:type="character" w:customStyle="1" w:styleId="25">
    <w:name w:val="font41"/>
    <w:basedOn w:val="16"/>
    <w:qFormat/>
    <w:uiPriority w:val="0"/>
    <w:rPr>
      <w:rFonts w:hint="eastAsia" w:ascii="宋体" w:hAnsi="宋体" w:eastAsia="宋体" w:cs="宋体"/>
      <w:color w:val="000000"/>
      <w:sz w:val="20"/>
      <w:szCs w:val="20"/>
      <w:u w:val="none"/>
    </w:rPr>
  </w:style>
  <w:style w:type="character" w:customStyle="1" w:styleId="26">
    <w:name w:val="font01"/>
    <w:basedOn w:val="16"/>
    <w:qFormat/>
    <w:uiPriority w:val="0"/>
    <w:rPr>
      <w:rFonts w:hint="default" w:ascii="Times New Roman" w:hAnsi="Times New Roman" w:cs="Times New Roman"/>
      <w:color w:val="000000"/>
      <w:sz w:val="20"/>
      <w:szCs w:val="20"/>
      <w:u w:val="none"/>
    </w:rPr>
  </w:style>
  <w:style w:type="character" w:customStyle="1" w:styleId="27">
    <w:name w:val="font51"/>
    <w:basedOn w:val="16"/>
    <w:qFormat/>
    <w:uiPriority w:val="0"/>
    <w:rPr>
      <w:rFonts w:hint="default" w:ascii="Times New Roman" w:hAnsi="Times New Roman" w:cs="Times New Roman"/>
      <w:color w:val="000000"/>
      <w:sz w:val="18"/>
      <w:szCs w:val="18"/>
      <w:u w:val="none"/>
    </w:rPr>
  </w:style>
  <w:style w:type="character" w:customStyle="1" w:styleId="28">
    <w:name w:val="font31"/>
    <w:basedOn w:val="16"/>
    <w:qFormat/>
    <w:uiPriority w:val="0"/>
    <w:rPr>
      <w:rFonts w:hint="default" w:ascii="Times New Roman" w:hAnsi="Times New Roman" w:cs="Times New Roman"/>
      <w:color w:val="000000"/>
      <w:sz w:val="22"/>
      <w:szCs w:val="22"/>
      <w:u w:val="none"/>
    </w:rPr>
  </w:style>
  <w:style w:type="character" w:customStyle="1" w:styleId="29">
    <w:name w:val="批注框文本 Char"/>
    <w:basedOn w:val="16"/>
    <w:link w:val="8"/>
    <w:qFormat/>
    <w:uiPriority w:val="0"/>
    <w:rPr>
      <w:rFonts w:ascii="宋体" w:hAnsi="宋体" w:cs="宋体"/>
      <w:sz w:val="18"/>
      <w:szCs w:val="18"/>
      <w:lang w:eastAsia="en-US"/>
    </w:rPr>
  </w:style>
  <w:style w:type="character" w:customStyle="1" w:styleId="30">
    <w:name w:val="批注文字 Char"/>
    <w:basedOn w:val="16"/>
    <w:link w:val="6"/>
    <w:qFormat/>
    <w:uiPriority w:val="0"/>
    <w:rPr>
      <w:rFonts w:ascii="宋体" w:hAnsi="宋体" w:cs="宋体"/>
      <w:sz w:val="22"/>
      <w:szCs w:val="22"/>
      <w:lang w:eastAsia="en-US"/>
    </w:rPr>
  </w:style>
  <w:style w:type="character" w:customStyle="1" w:styleId="31">
    <w:name w:val="批注主题 Char"/>
    <w:basedOn w:val="30"/>
    <w:link w:val="13"/>
    <w:qFormat/>
    <w:uiPriority w:val="0"/>
    <w:rPr>
      <w:rFonts w:ascii="宋体" w:hAnsi="宋体" w:cs="宋体"/>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3657</Words>
  <Characters>20845</Characters>
  <Lines>173</Lines>
  <Paragraphs>48</Paragraphs>
  <TotalTime>7</TotalTime>
  <ScaleCrop>false</ScaleCrop>
  <LinksUpToDate>false</LinksUpToDate>
  <CharactersWithSpaces>24454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(~O~)zZ</cp:lastModifiedBy>
  <dcterms:modified xsi:type="dcterms:W3CDTF">2021-11-05T08:43:57Z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FB803C7F70C94F288B02FFD2F7B8A9C1</vt:lpwstr>
  </property>
</Properties>
</file>